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color w:val="auto"/>
          <w:sz w:val="28"/>
          <w:szCs w:val="28"/>
        </w:rPr>
      </w:pPr>
      <w:bookmarkStart w:id="0" w:name="_GoBack"/>
      <w:r>
        <w:rPr>
          <w:rFonts w:hint="eastAsia" w:ascii="黑体" w:eastAsia="黑体"/>
          <w:b/>
          <w:color w:val="auto"/>
          <w:sz w:val="28"/>
          <w:szCs w:val="28"/>
        </w:rPr>
        <w:t>商学院研究生优秀学生、优秀学生干部评定细则（</w:t>
      </w:r>
      <w:r>
        <w:rPr>
          <w:rFonts w:hint="eastAsia" w:ascii="黑体" w:eastAsia="黑体"/>
          <w:b/>
          <w:color w:val="auto"/>
          <w:sz w:val="28"/>
          <w:szCs w:val="28"/>
          <w:lang w:val="en-US" w:eastAsia="zh-CN"/>
        </w:rPr>
        <w:t>2020</w:t>
      </w:r>
      <w:r>
        <w:rPr>
          <w:rFonts w:hint="eastAsia" w:ascii="黑体" w:eastAsia="黑体"/>
          <w:b/>
          <w:color w:val="auto"/>
          <w:sz w:val="28"/>
          <w:szCs w:val="28"/>
        </w:rPr>
        <w:t>）</w:t>
      </w:r>
    </w:p>
    <w:p>
      <w:pPr>
        <w:rPr>
          <w:color w:val="auto"/>
        </w:rPr>
      </w:pPr>
    </w:p>
    <w:p>
      <w:pPr>
        <w:spacing w:line="400" w:lineRule="exact"/>
        <w:ind w:firstLine="480" w:firstLineChars="200"/>
        <w:rPr>
          <w:color w:val="auto"/>
          <w:sz w:val="24"/>
        </w:rPr>
      </w:pPr>
      <w:r>
        <w:rPr>
          <w:rFonts w:hint="eastAsia"/>
          <w:color w:val="auto"/>
          <w:sz w:val="24"/>
        </w:rPr>
        <w:t>根据</w:t>
      </w:r>
      <w:r>
        <w:rPr>
          <w:rFonts w:hint="eastAsia"/>
          <w:color w:val="auto"/>
          <w:sz w:val="24"/>
          <w:lang w:eastAsia="zh-CN"/>
        </w:rPr>
        <w:t>《</w:t>
      </w:r>
      <w:r>
        <w:rPr>
          <w:rFonts w:hint="eastAsia"/>
          <w:color w:val="auto"/>
          <w:sz w:val="24"/>
          <w:lang w:val="en-US" w:eastAsia="zh-CN"/>
        </w:rPr>
        <w:t>关于做好上海师范大学2020年度研究生“优秀学生”及“优秀学生干部”评选的通知</w:t>
      </w:r>
      <w:r>
        <w:rPr>
          <w:rFonts w:hint="eastAsia"/>
          <w:color w:val="auto"/>
          <w:sz w:val="24"/>
          <w:lang w:eastAsia="zh-CN"/>
        </w:rPr>
        <w:t>》，</w:t>
      </w:r>
      <w:r>
        <w:rPr>
          <w:rFonts w:hint="eastAsia"/>
          <w:color w:val="auto"/>
          <w:sz w:val="24"/>
        </w:rPr>
        <w:t>结合商学院的实际情况，特制定本细则。</w:t>
      </w:r>
    </w:p>
    <w:p>
      <w:pPr>
        <w:spacing w:beforeLines="50" w:line="400" w:lineRule="exact"/>
        <w:rPr>
          <w:rFonts w:ascii="黑体" w:eastAsia="黑体"/>
          <w:color w:val="auto"/>
          <w:sz w:val="24"/>
        </w:rPr>
      </w:pPr>
      <w:r>
        <w:rPr>
          <w:rFonts w:hint="eastAsia" w:ascii="黑体" w:eastAsia="黑体"/>
          <w:color w:val="auto"/>
          <w:sz w:val="24"/>
        </w:rPr>
        <w:t>一、评选范围</w:t>
      </w:r>
    </w:p>
    <w:p>
      <w:pPr>
        <w:spacing w:line="400" w:lineRule="exact"/>
        <w:ind w:firstLine="480" w:firstLineChars="200"/>
        <w:rPr>
          <w:color w:val="auto"/>
          <w:sz w:val="24"/>
        </w:rPr>
      </w:pPr>
      <w:r>
        <w:rPr>
          <w:rFonts w:hint="eastAsia"/>
          <w:color w:val="auto"/>
          <w:sz w:val="24"/>
        </w:rPr>
        <w:t>优秀学生、优秀学生干部在二年级在读研究生中产生，其中，优秀学生干部须在研究生中曾担任过校院两级研究生</w:t>
      </w:r>
      <w:r>
        <w:rPr>
          <w:rFonts w:hint="eastAsia"/>
          <w:color w:val="auto"/>
          <w:sz w:val="24"/>
          <w:lang w:val="en-US" w:eastAsia="zh-CN"/>
        </w:rPr>
        <w:t>会及党团组织和各类学生社团的负责人中产生</w:t>
      </w:r>
      <w:r>
        <w:rPr>
          <w:rFonts w:hint="eastAsia"/>
          <w:color w:val="auto"/>
          <w:sz w:val="24"/>
        </w:rPr>
        <w:t>。</w:t>
      </w:r>
    </w:p>
    <w:p>
      <w:pPr>
        <w:spacing w:beforeLines="50" w:line="400" w:lineRule="exact"/>
        <w:rPr>
          <w:rFonts w:ascii="黑体" w:eastAsia="黑体"/>
          <w:color w:val="auto"/>
          <w:sz w:val="24"/>
        </w:rPr>
      </w:pPr>
      <w:r>
        <w:rPr>
          <w:rFonts w:hint="eastAsia" w:ascii="黑体" w:eastAsia="黑体"/>
          <w:color w:val="auto"/>
          <w:sz w:val="24"/>
        </w:rPr>
        <w:t>二、评选比例与名额</w:t>
      </w:r>
    </w:p>
    <w:p>
      <w:pPr>
        <w:spacing w:line="400" w:lineRule="exact"/>
        <w:ind w:firstLine="480" w:firstLineChars="200"/>
        <w:rPr>
          <w:color w:val="auto"/>
          <w:sz w:val="24"/>
        </w:rPr>
      </w:pPr>
      <w:r>
        <w:rPr>
          <w:rFonts w:hint="eastAsia"/>
          <w:color w:val="auto"/>
          <w:sz w:val="24"/>
        </w:rPr>
        <w:t>评选比例与名额，根据校研究生工作部的通知确定。</w:t>
      </w:r>
    </w:p>
    <w:p>
      <w:pPr>
        <w:spacing w:beforeLines="50" w:line="400" w:lineRule="exact"/>
        <w:rPr>
          <w:rFonts w:ascii="黑体" w:eastAsia="黑体"/>
          <w:color w:val="auto"/>
          <w:sz w:val="24"/>
          <w:highlight w:val="none"/>
        </w:rPr>
      </w:pPr>
      <w:r>
        <w:rPr>
          <w:rFonts w:hint="eastAsia" w:ascii="黑体" w:eastAsia="黑体"/>
          <w:color w:val="auto"/>
          <w:sz w:val="24"/>
          <w:highlight w:val="none"/>
        </w:rPr>
        <w:t>三、评选资格条件</w:t>
      </w:r>
    </w:p>
    <w:p>
      <w:pPr>
        <w:spacing w:line="400" w:lineRule="exact"/>
        <w:ind w:left="585" w:leftChars="50" w:hanging="480" w:hangingChars="200"/>
        <w:rPr>
          <w:rFonts w:hint="eastAsia"/>
          <w:color w:val="auto"/>
          <w:sz w:val="24"/>
          <w:highlight w:val="none"/>
        </w:rPr>
      </w:pPr>
      <w:r>
        <w:rPr>
          <w:rFonts w:hint="eastAsia"/>
          <w:color w:val="auto"/>
          <w:sz w:val="24"/>
          <w:highlight w:val="none"/>
        </w:rPr>
        <w:t>1． 坚持党的领导，坚持正确的政治方向，坚定“四个自信”，爱国爱校，自觉践行社会主义核心价值观。</w:t>
      </w:r>
    </w:p>
    <w:p>
      <w:pPr>
        <w:spacing w:line="400" w:lineRule="exact"/>
        <w:ind w:left="585" w:leftChars="50" w:hanging="480" w:hangingChars="200"/>
        <w:rPr>
          <w:rFonts w:hint="eastAsia"/>
          <w:color w:val="auto"/>
          <w:sz w:val="24"/>
          <w:highlight w:val="none"/>
        </w:rPr>
      </w:pPr>
      <w:r>
        <w:rPr>
          <w:rFonts w:hint="eastAsia"/>
          <w:color w:val="auto"/>
          <w:sz w:val="24"/>
          <w:highlight w:val="none"/>
        </w:rPr>
        <w:t>2．模范遵守国家法律、法规和学校各项规章制度，有良好的思想品德修养，在校期间未受过纪律处分。</w:t>
      </w:r>
    </w:p>
    <w:p>
      <w:pPr>
        <w:spacing w:line="400" w:lineRule="exact"/>
        <w:ind w:left="585" w:leftChars="50" w:hanging="480" w:hangingChars="200"/>
        <w:rPr>
          <w:rFonts w:hint="eastAsia"/>
          <w:color w:val="auto"/>
          <w:sz w:val="24"/>
          <w:highlight w:val="none"/>
        </w:rPr>
      </w:pPr>
      <w:r>
        <w:rPr>
          <w:rFonts w:hint="eastAsia"/>
          <w:color w:val="auto"/>
          <w:sz w:val="24"/>
          <w:highlight w:val="none"/>
        </w:rPr>
        <w:t>3．尊敬师长、团结同学，热心各种校园文化活动、公益活动，积极参加社会实践活动，身心健康。</w:t>
      </w:r>
    </w:p>
    <w:p>
      <w:pPr>
        <w:spacing w:line="400" w:lineRule="exact"/>
        <w:ind w:left="585" w:leftChars="50" w:hanging="480" w:hangingChars="200"/>
        <w:rPr>
          <w:rFonts w:hint="eastAsia"/>
          <w:color w:val="auto"/>
          <w:sz w:val="24"/>
          <w:highlight w:val="none"/>
        </w:rPr>
      </w:pPr>
      <w:r>
        <w:rPr>
          <w:rFonts w:hint="eastAsia"/>
          <w:color w:val="auto"/>
          <w:sz w:val="24"/>
          <w:highlight w:val="none"/>
        </w:rPr>
        <w:t>4．学习勤奋，具有良好的学术道德和科研能力，</w:t>
      </w:r>
      <w:r>
        <w:rPr>
          <w:rFonts w:hint="eastAsia"/>
          <w:color w:val="auto"/>
          <w:sz w:val="24"/>
          <w:highlight w:val="none"/>
          <w:lang w:val="en-US" w:eastAsia="zh-CN"/>
        </w:rPr>
        <w:t>所有算学分课程初考成绩平均分在80分及以上</w:t>
      </w:r>
      <w:r>
        <w:rPr>
          <w:rFonts w:hint="eastAsia"/>
          <w:color w:val="auto"/>
          <w:sz w:val="24"/>
          <w:highlight w:val="none"/>
        </w:rPr>
        <w:t>，</w:t>
      </w:r>
      <w:r>
        <w:rPr>
          <w:rFonts w:hint="eastAsia"/>
          <w:color w:val="auto"/>
          <w:sz w:val="24"/>
          <w:highlight w:val="none"/>
          <w:lang w:val="en-US" w:eastAsia="zh-CN"/>
        </w:rPr>
        <w:t>且</w:t>
      </w:r>
      <w:r>
        <w:rPr>
          <w:rFonts w:hint="eastAsia"/>
          <w:color w:val="auto"/>
          <w:sz w:val="24"/>
          <w:highlight w:val="none"/>
        </w:rPr>
        <w:t>学业成绩</w:t>
      </w:r>
      <w:r>
        <w:rPr>
          <w:rFonts w:hint="eastAsia"/>
          <w:color w:val="auto"/>
          <w:sz w:val="24"/>
          <w:highlight w:val="none"/>
          <w:lang w:val="en-US" w:eastAsia="zh-CN"/>
        </w:rPr>
        <w:t>在本学位类型本年级</w:t>
      </w:r>
      <w:r>
        <w:rPr>
          <w:rFonts w:hint="eastAsia"/>
          <w:color w:val="auto"/>
          <w:sz w:val="24"/>
          <w:highlight w:val="none"/>
        </w:rPr>
        <w:t>研究生</w:t>
      </w:r>
      <w:r>
        <w:rPr>
          <w:rFonts w:hint="eastAsia"/>
          <w:color w:val="auto"/>
          <w:sz w:val="24"/>
          <w:highlight w:val="none"/>
          <w:lang w:eastAsia="zh-CN"/>
        </w:rPr>
        <w:t>（</w:t>
      </w:r>
      <w:r>
        <w:rPr>
          <w:rFonts w:hint="eastAsia"/>
          <w:color w:val="auto"/>
          <w:sz w:val="24"/>
          <w:highlight w:val="none"/>
          <w:lang w:val="en-US" w:eastAsia="zh-CN"/>
        </w:rPr>
        <w:t>如金融专硕、学硕、会计专硕</w:t>
      </w:r>
      <w:r>
        <w:rPr>
          <w:rFonts w:hint="eastAsia"/>
          <w:color w:val="auto"/>
          <w:sz w:val="24"/>
          <w:highlight w:val="none"/>
          <w:lang w:eastAsia="zh-CN"/>
        </w:rPr>
        <w:t>）</w:t>
      </w:r>
      <w:r>
        <w:rPr>
          <w:rFonts w:hint="eastAsia"/>
          <w:color w:val="auto"/>
          <w:sz w:val="24"/>
          <w:highlight w:val="none"/>
        </w:rPr>
        <w:t>中</w:t>
      </w:r>
      <w:r>
        <w:rPr>
          <w:rFonts w:hint="eastAsia"/>
          <w:color w:val="auto"/>
          <w:sz w:val="24"/>
          <w:highlight w:val="none"/>
          <w:lang w:val="en-US" w:eastAsia="zh-CN"/>
        </w:rPr>
        <w:t>排名前40%</w:t>
      </w:r>
      <w:r>
        <w:rPr>
          <w:rFonts w:hint="eastAsia"/>
          <w:color w:val="auto"/>
          <w:sz w:val="24"/>
          <w:highlight w:val="none"/>
        </w:rPr>
        <w:t>。</w:t>
      </w:r>
    </w:p>
    <w:p>
      <w:pPr>
        <w:spacing w:line="400" w:lineRule="exact"/>
        <w:ind w:left="585" w:leftChars="50" w:hanging="480" w:hangingChars="200"/>
        <w:rPr>
          <w:rFonts w:hint="eastAsia"/>
          <w:color w:val="auto"/>
          <w:sz w:val="24"/>
          <w:highlight w:val="none"/>
        </w:rPr>
      </w:pPr>
      <w:r>
        <w:rPr>
          <w:rFonts w:hint="eastAsia"/>
          <w:color w:val="auto"/>
          <w:sz w:val="24"/>
          <w:highlight w:val="none"/>
        </w:rPr>
        <w:t>5．“优秀学生干部”除上述条件外，还需有过学生干部的经历，在组织和参与各类学生活动及志愿者服务中表现突出。</w:t>
      </w:r>
    </w:p>
    <w:p>
      <w:pPr>
        <w:spacing w:line="400" w:lineRule="exact"/>
        <w:ind w:left="585" w:leftChars="50" w:hanging="480" w:hangingChars="200"/>
        <w:rPr>
          <w:color w:val="auto"/>
          <w:sz w:val="24"/>
          <w:highlight w:val="none"/>
        </w:rPr>
      </w:pPr>
      <w:r>
        <w:rPr>
          <w:rFonts w:hint="eastAsia"/>
          <w:color w:val="auto"/>
          <w:sz w:val="24"/>
          <w:highlight w:val="none"/>
          <w:lang w:val="en-US" w:eastAsia="zh-CN"/>
        </w:rPr>
        <w:t>6</w:t>
      </w:r>
      <w:r>
        <w:rPr>
          <w:rFonts w:hint="eastAsia"/>
          <w:color w:val="auto"/>
          <w:sz w:val="24"/>
          <w:highlight w:val="none"/>
        </w:rPr>
        <w:t>．文明礼貌，文明住宿，没有打架斗殴、违章用电等违规记录；</w:t>
      </w:r>
    </w:p>
    <w:p>
      <w:pPr>
        <w:spacing w:line="400" w:lineRule="exact"/>
        <w:ind w:left="585" w:leftChars="50" w:hanging="480" w:hangingChars="200"/>
        <w:rPr>
          <w:rFonts w:hint="eastAsia"/>
          <w:color w:val="auto"/>
          <w:sz w:val="24"/>
          <w:highlight w:val="none"/>
          <w:lang w:eastAsia="zh-CN"/>
        </w:rPr>
      </w:pPr>
      <w:r>
        <w:rPr>
          <w:rFonts w:hint="eastAsia"/>
          <w:color w:val="auto"/>
          <w:sz w:val="24"/>
          <w:highlight w:val="none"/>
        </w:rPr>
        <w:t>7．优秀学生和优秀学生干部荣誉称号不可兼得</w:t>
      </w:r>
      <w:r>
        <w:rPr>
          <w:rFonts w:hint="eastAsia"/>
          <w:color w:val="auto"/>
          <w:sz w:val="24"/>
          <w:highlight w:val="none"/>
          <w:lang w:eastAsia="zh-CN"/>
        </w:rPr>
        <w:t>。</w:t>
      </w:r>
    </w:p>
    <w:p>
      <w:pPr>
        <w:spacing w:line="400" w:lineRule="exact"/>
        <w:ind w:left="585" w:leftChars="50" w:hanging="480" w:hangingChars="200"/>
        <w:rPr>
          <w:rFonts w:hint="eastAsia"/>
          <w:color w:val="auto"/>
          <w:sz w:val="24"/>
          <w:highlight w:val="none"/>
          <w:lang w:eastAsia="zh-CN"/>
        </w:rPr>
      </w:pPr>
    </w:p>
    <w:p>
      <w:pPr>
        <w:spacing w:beforeLines="50" w:line="400" w:lineRule="exact"/>
        <w:rPr>
          <w:rFonts w:ascii="黑体" w:eastAsia="黑体"/>
          <w:color w:val="auto"/>
          <w:sz w:val="24"/>
          <w:highlight w:val="none"/>
        </w:rPr>
      </w:pPr>
      <w:r>
        <w:rPr>
          <w:rFonts w:hint="eastAsia" w:ascii="黑体" w:eastAsia="黑体"/>
          <w:color w:val="auto"/>
          <w:sz w:val="24"/>
          <w:highlight w:val="none"/>
        </w:rPr>
        <w:t xml:space="preserve">四、评选程序 </w:t>
      </w:r>
    </w:p>
    <w:p>
      <w:pPr>
        <w:adjustRightInd w:val="0"/>
        <w:snapToGrid w:val="0"/>
        <w:spacing w:line="400" w:lineRule="exact"/>
        <w:ind w:left="585" w:leftChars="50" w:hanging="480" w:hangingChars="200"/>
        <w:rPr>
          <w:color w:val="auto"/>
          <w:sz w:val="24"/>
          <w:highlight w:val="none"/>
        </w:rPr>
      </w:pPr>
      <w:r>
        <w:rPr>
          <w:rFonts w:hint="eastAsia"/>
          <w:color w:val="auto"/>
          <w:sz w:val="24"/>
          <w:highlight w:val="none"/>
        </w:rPr>
        <w:t>1．本人申请，根据评分标准写申请书；</w:t>
      </w:r>
    </w:p>
    <w:p>
      <w:pPr>
        <w:adjustRightInd w:val="0"/>
        <w:snapToGrid w:val="0"/>
        <w:spacing w:line="400" w:lineRule="exact"/>
        <w:ind w:left="585" w:leftChars="50" w:hanging="480" w:hangingChars="200"/>
        <w:rPr>
          <w:color w:val="auto"/>
          <w:sz w:val="24"/>
          <w:highlight w:val="none"/>
        </w:rPr>
      </w:pPr>
      <w:r>
        <w:rPr>
          <w:rFonts w:hint="eastAsia"/>
          <w:color w:val="auto"/>
          <w:sz w:val="24"/>
          <w:highlight w:val="none"/>
        </w:rPr>
        <w:t>2．根据本细则第五条的评分标准，对申请者评分；</w:t>
      </w:r>
    </w:p>
    <w:p>
      <w:pPr>
        <w:adjustRightInd w:val="0"/>
        <w:snapToGrid w:val="0"/>
        <w:spacing w:line="400" w:lineRule="exact"/>
        <w:ind w:left="585" w:leftChars="50" w:hanging="480" w:hangingChars="200"/>
        <w:rPr>
          <w:color w:val="auto"/>
          <w:sz w:val="24"/>
          <w:highlight w:val="none"/>
        </w:rPr>
      </w:pPr>
      <w:r>
        <w:rPr>
          <w:rFonts w:hint="eastAsia"/>
          <w:color w:val="auto"/>
          <w:sz w:val="24"/>
          <w:highlight w:val="none"/>
        </w:rPr>
        <w:t>3．根据对各申请者的评分从高到低排列，在各专业名额内择优确定候选人名单；</w:t>
      </w:r>
    </w:p>
    <w:p>
      <w:pPr>
        <w:adjustRightInd w:val="0"/>
        <w:snapToGrid w:val="0"/>
        <w:spacing w:line="400" w:lineRule="exact"/>
        <w:ind w:left="585" w:leftChars="50" w:hanging="480" w:hangingChars="200"/>
        <w:rPr>
          <w:color w:val="auto"/>
          <w:sz w:val="24"/>
          <w:highlight w:val="none"/>
        </w:rPr>
      </w:pPr>
      <w:r>
        <w:rPr>
          <w:rFonts w:hint="eastAsia"/>
          <w:color w:val="auto"/>
          <w:sz w:val="24"/>
          <w:highlight w:val="none"/>
        </w:rPr>
        <w:t>4．对候选人进行公示，广泛听取意见，接受监督。对申请者在申请中弄虚作假的，</w:t>
      </w:r>
    </w:p>
    <w:p>
      <w:pPr>
        <w:adjustRightInd w:val="0"/>
        <w:snapToGrid w:val="0"/>
        <w:spacing w:line="400" w:lineRule="exact"/>
        <w:ind w:left="585" w:leftChars="50" w:hanging="480" w:hangingChars="200"/>
        <w:rPr>
          <w:color w:val="auto"/>
          <w:sz w:val="24"/>
          <w:highlight w:val="none"/>
        </w:rPr>
      </w:pPr>
      <w:r>
        <w:rPr>
          <w:rFonts w:hint="eastAsia"/>
          <w:color w:val="auto"/>
          <w:sz w:val="24"/>
          <w:highlight w:val="none"/>
        </w:rPr>
        <w:t>取消评选资格，并追究责任；</w:t>
      </w:r>
    </w:p>
    <w:p>
      <w:pPr>
        <w:adjustRightInd w:val="0"/>
        <w:snapToGrid w:val="0"/>
        <w:spacing w:line="400" w:lineRule="exact"/>
        <w:ind w:left="585" w:leftChars="50" w:hanging="480" w:hangingChars="200"/>
        <w:rPr>
          <w:color w:val="auto"/>
          <w:sz w:val="24"/>
          <w:highlight w:val="none"/>
        </w:rPr>
      </w:pPr>
      <w:r>
        <w:rPr>
          <w:rFonts w:hint="eastAsia"/>
          <w:color w:val="auto"/>
          <w:sz w:val="24"/>
          <w:highlight w:val="none"/>
        </w:rPr>
        <w:t>5．将公布无异议的拟定名单报校研究生工作部。</w:t>
      </w:r>
    </w:p>
    <w:p>
      <w:pPr>
        <w:adjustRightInd w:val="0"/>
        <w:snapToGrid w:val="0"/>
        <w:spacing w:line="400" w:lineRule="exact"/>
        <w:ind w:left="585" w:leftChars="50" w:hanging="480" w:hangingChars="200"/>
        <w:rPr>
          <w:color w:val="auto"/>
          <w:sz w:val="24"/>
          <w:highlight w:val="none"/>
        </w:rPr>
      </w:pPr>
    </w:p>
    <w:p>
      <w:pPr>
        <w:spacing w:beforeLines="50" w:line="400" w:lineRule="exact"/>
        <w:rPr>
          <w:rFonts w:ascii="黑体" w:eastAsia="黑体"/>
          <w:color w:val="auto"/>
          <w:sz w:val="24"/>
          <w:highlight w:val="none"/>
        </w:rPr>
      </w:pPr>
      <w:r>
        <w:rPr>
          <w:rFonts w:hint="eastAsia" w:ascii="黑体" w:eastAsia="黑体"/>
          <w:color w:val="auto"/>
          <w:sz w:val="24"/>
          <w:highlight w:val="none"/>
        </w:rPr>
        <w:t>五、评分标准</w:t>
      </w:r>
    </w:p>
    <w:p>
      <w:pPr>
        <w:spacing w:line="400" w:lineRule="exact"/>
        <w:ind w:firstLine="480" w:firstLineChars="200"/>
        <w:jc w:val="left"/>
        <w:rPr>
          <w:color w:val="auto"/>
          <w:sz w:val="24"/>
          <w:highlight w:val="none"/>
        </w:rPr>
      </w:pPr>
      <w:r>
        <w:rPr>
          <w:rFonts w:hint="eastAsia"/>
          <w:color w:val="auto"/>
          <w:sz w:val="24"/>
          <w:highlight w:val="none"/>
        </w:rPr>
        <w:t>商学院研究生优秀学生、优秀学生干部及优秀毕业生的评分按照思想品德、学习科研、工作能力三方面分别考虑，三部分得分的总和为评优依据。三部分的评分标准如下：</w:t>
      </w:r>
    </w:p>
    <w:p>
      <w:pPr>
        <w:numPr>
          <w:ilvl w:val="0"/>
          <w:numId w:val="1"/>
        </w:numPr>
        <w:adjustRightInd w:val="0"/>
        <w:snapToGrid w:val="0"/>
        <w:spacing w:beforeLines="50" w:line="400" w:lineRule="exact"/>
        <w:ind w:hanging="357"/>
        <w:rPr>
          <w:color w:val="auto"/>
          <w:sz w:val="24"/>
          <w:highlight w:val="none"/>
        </w:rPr>
      </w:pPr>
      <w:r>
        <w:rPr>
          <w:rFonts w:hint="eastAsia"/>
          <w:b/>
          <w:bCs/>
          <w:color w:val="auto"/>
          <w:sz w:val="24"/>
          <w:highlight w:val="none"/>
        </w:rPr>
        <w:t>思想品德（A+B）</w:t>
      </w:r>
      <w:r>
        <w:rPr>
          <w:rFonts w:hint="eastAsia"/>
          <w:bCs/>
          <w:color w:val="auto"/>
          <w:sz w:val="24"/>
          <w:highlight w:val="none"/>
        </w:rPr>
        <w:t>（</w:t>
      </w:r>
      <w:r>
        <w:rPr>
          <w:rFonts w:hint="eastAsia"/>
          <w:bCs/>
          <w:color w:val="auto"/>
          <w:sz w:val="24"/>
          <w:highlight w:val="none"/>
          <w:lang w:val="en-US" w:eastAsia="zh-CN"/>
        </w:rPr>
        <w:t>40</w:t>
      </w:r>
      <w:r>
        <w:rPr>
          <w:rFonts w:hint="eastAsia"/>
          <w:bCs/>
          <w:color w:val="auto"/>
          <w:sz w:val="24"/>
          <w:highlight w:val="none"/>
        </w:rPr>
        <w:t>分）</w:t>
      </w:r>
    </w:p>
    <w:p>
      <w:pPr>
        <w:adjustRightInd w:val="0"/>
        <w:snapToGrid w:val="0"/>
        <w:spacing w:line="400" w:lineRule="exact"/>
        <w:ind w:left="107" w:leftChars="51" w:firstLine="360" w:firstLineChars="150"/>
        <w:rPr>
          <w:color w:val="auto"/>
          <w:sz w:val="24"/>
          <w:highlight w:val="none"/>
        </w:rPr>
      </w:pPr>
      <w:r>
        <w:rPr>
          <w:rFonts w:hint="eastAsia"/>
          <w:bCs/>
          <w:color w:val="auto"/>
          <w:sz w:val="24"/>
          <w:highlight w:val="none"/>
        </w:rPr>
        <w:t>思想品德得分</w:t>
      </w:r>
      <w:r>
        <w:rPr>
          <w:rFonts w:hint="eastAsia"/>
          <w:color w:val="auto"/>
          <w:sz w:val="24"/>
          <w:highlight w:val="none"/>
        </w:rPr>
        <w:t>＝A+B。即思想品德的得分有两部分构成：</w:t>
      </w:r>
      <w:r>
        <w:rPr>
          <w:rFonts w:hint="eastAsia"/>
          <w:i/>
          <w:color w:val="auto"/>
          <w:sz w:val="24"/>
          <w:highlight w:val="none"/>
        </w:rPr>
        <w:t>同学评分(A)</w:t>
      </w:r>
      <w:r>
        <w:rPr>
          <w:rFonts w:hint="eastAsia"/>
          <w:color w:val="auto"/>
          <w:sz w:val="24"/>
          <w:highlight w:val="none"/>
        </w:rPr>
        <w:t>和</w:t>
      </w:r>
      <w:r>
        <w:rPr>
          <w:rFonts w:hint="eastAsia"/>
          <w:i/>
          <w:color w:val="auto"/>
          <w:sz w:val="24"/>
          <w:highlight w:val="none"/>
        </w:rPr>
        <w:t>加分项(B)，</w:t>
      </w:r>
      <w:r>
        <w:rPr>
          <w:rFonts w:hint="eastAsia"/>
          <w:bCs/>
          <w:color w:val="auto"/>
          <w:sz w:val="24"/>
          <w:highlight w:val="none"/>
        </w:rPr>
        <w:t>其中：</w:t>
      </w:r>
    </w:p>
    <w:p>
      <w:pPr>
        <w:spacing w:line="400" w:lineRule="exact"/>
        <w:ind w:firstLine="472" w:firstLineChars="196"/>
        <w:rPr>
          <w:color w:val="auto"/>
          <w:sz w:val="24"/>
          <w:highlight w:val="none"/>
        </w:rPr>
      </w:pPr>
      <w:r>
        <w:rPr>
          <w:rFonts w:hint="eastAsia"/>
          <w:b/>
          <w:color w:val="auto"/>
          <w:sz w:val="24"/>
          <w:highlight w:val="none"/>
        </w:rPr>
        <w:t>A</w:t>
      </w:r>
      <w:r>
        <w:rPr>
          <w:rFonts w:hint="eastAsia"/>
          <w:color w:val="auto"/>
          <w:sz w:val="24"/>
          <w:highlight w:val="none"/>
        </w:rPr>
        <w:t>＝</w:t>
      </w:r>
      <w:r>
        <w:rPr>
          <w:color w:val="auto"/>
          <w:position w:val="-8"/>
          <w:sz w:val="24"/>
          <w:highlight w:val="none"/>
        </w:rPr>
        <w:object>
          <v:shape id="_x0000_i1025" o:spt="75" type="#_x0000_t75" style="height:15.75pt;width:117pt;" o:ole="t" filled="f" o:preferrelative="t" stroked="f" coordsize="21600,21600">
            <v:path/>
            <v:fill on="f" focussize="0,0"/>
            <v:stroke on="f"/>
            <v:imagedata r:id="rId5" o:title=""/>
            <o:lock v:ext="edit" aspectratio="t"/>
            <w10:wrap type="none"/>
            <w10:anchorlock/>
          </v:shape>
          <o:OLEObject Type="Embed" ProgID="Equation.3" ShapeID="_x0000_i1025" DrawAspect="Content" ObjectID="_1468075725" r:id="rId4">
            <o:LockedField>false</o:LockedField>
          </o:OLEObject>
        </w:object>
      </w:r>
      <w:r>
        <w:rPr>
          <w:rFonts w:hint="eastAsia"/>
          <w:color w:val="auto"/>
          <w:sz w:val="24"/>
          <w:highlight w:val="none"/>
        </w:rPr>
        <w:t xml:space="preserve"> （每位同学对申请者按百分制打分）</w:t>
      </w:r>
    </w:p>
    <w:p>
      <w:pPr>
        <w:pStyle w:val="13"/>
        <w:spacing w:line="400" w:lineRule="exact"/>
        <w:ind w:left="465" w:firstLine="0" w:firstLineChars="0"/>
        <w:rPr>
          <w:color w:val="auto"/>
          <w:sz w:val="24"/>
          <w:highlight w:val="none"/>
        </w:rPr>
      </w:pPr>
      <w:r>
        <w:rPr>
          <w:rFonts w:hint="eastAsia"/>
          <w:b/>
          <w:bCs/>
          <w:color w:val="auto"/>
          <w:sz w:val="24"/>
          <w:highlight w:val="none"/>
        </w:rPr>
        <w:t>B：</w:t>
      </w:r>
      <w:r>
        <w:rPr>
          <w:rFonts w:hint="eastAsia"/>
          <w:bCs/>
          <w:color w:val="auto"/>
          <w:sz w:val="24"/>
          <w:highlight w:val="none"/>
        </w:rPr>
        <w:t>加分项</w:t>
      </w:r>
      <w:r>
        <w:rPr>
          <w:rFonts w:hint="eastAsia"/>
          <w:bCs/>
          <w:color w:val="auto"/>
          <w:sz w:val="24"/>
          <w:highlight w:val="none"/>
          <w:lang w:eastAsia="zh-CN"/>
        </w:rPr>
        <w:t>（</w:t>
      </w:r>
      <w:r>
        <w:rPr>
          <w:rFonts w:hint="eastAsia"/>
          <w:bCs/>
          <w:color w:val="auto"/>
          <w:sz w:val="24"/>
          <w:highlight w:val="none"/>
          <w:lang w:val="en-US" w:eastAsia="zh-CN"/>
        </w:rPr>
        <w:t>最高10分</w:t>
      </w:r>
      <w:r>
        <w:rPr>
          <w:rFonts w:hint="eastAsia"/>
          <w:bCs/>
          <w:color w:val="auto"/>
          <w:sz w:val="24"/>
          <w:highlight w:val="none"/>
          <w:lang w:eastAsia="zh-CN"/>
        </w:rPr>
        <w:t>）</w:t>
      </w:r>
      <w:r>
        <w:rPr>
          <w:rFonts w:hint="eastAsia"/>
          <w:color w:val="auto"/>
          <w:sz w:val="24"/>
          <w:highlight w:val="none"/>
        </w:rPr>
        <w:t>：（申报加分需提供相关证明及复印件）</w:t>
      </w:r>
    </w:p>
    <w:p>
      <w:pPr>
        <w:adjustRightInd w:val="0"/>
        <w:snapToGrid w:val="0"/>
        <w:spacing w:line="400" w:lineRule="exact"/>
        <w:ind w:firstLine="480" w:firstLineChars="200"/>
        <w:rPr>
          <w:color w:val="auto"/>
          <w:sz w:val="24"/>
          <w:highlight w:val="none"/>
        </w:rPr>
      </w:pPr>
      <w:r>
        <w:rPr>
          <w:rFonts w:hint="eastAsia"/>
          <w:color w:val="auto"/>
          <w:sz w:val="24"/>
          <w:highlight w:val="none"/>
        </w:rPr>
        <w:t>参加</w:t>
      </w:r>
      <w:r>
        <w:rPr>
          <w:rFonts w:hint="eastAsia"/>
          <w:color w:val="auto"/>
          <w:sz w:val="24"/>
          <w:highlight w:val="none"/>
          <w:lang w:eastAsia="zh-CN"/>
        </w:rPr>
        <w:t>校内</w:t>
      </w:r>
      <w:r>
        <w:rPr>
          <w:rFonts w:hint="eastAsia"/>
          <w:color w:val="auto"/>
          <w:sz w:val="24"/>
          <w:highlight w:val="none"/>
        </w:rPr>
        <w:t>无偿献血，加</w:t>
      </w:r>
      <w:r>
        <w:rPr>
          <w:rFonts w:hint="eastAsia"/>
          <w:color w:val="auto"/>
          <w:sz w:val="24"/>
          <w:highlight w:val="none"/>
          <w:lang w:val="en-US" w:eastAsia="zh-CN"/>
        </w:rPr>
        <w:t>2</w:t>
      </w:r>
      <w:r>
        <w:rPr>
          <w:rFonts w:hint="eastAsia"/>
          <w:color w:val="auto"/>
          <w:sz w:val="24"/>
          <w:highlight w:val="none"/>
        </w:rPr>
        <w:t>分；</w:t>
      </w:r>
    </w:p>
    <w:p>
      <w:pPr>
        <w:adjustRightInd w:val="0"/>
        <w:snapToGrid w:val="0"/>
        <w:spacing w:line="400" w:lineRule="exact"/>
        <w:ind w:firstLine="480" w:firstLineChars="200"/>
        <w:rPr>
          <w:rFonts w:hint="default" w:eastAsia="宋体"/>
          <w:color w:val="auto"/>
          <w:sz w:val="24"/>
          <w:highlight w:val="none"/>
          <w:lang w:val="en-US" w:eastAsia="zh-CN"/>
        </w:rPr>
      </w:pPr>
      <w:r>
        <w:rPr>
          <w:rFonts w:hint="eastAsia"/>
          <w:color w:val="auto"/>
          <w:sz w:val="24"/>
          <w:highlight w:val="none"/>
        </w:rPr>
        <w:t>参加</w:t>
      </w:r>
      <w:r>
        <w:rPr>
          <w:rFonts w:hint="eastAsia"/>
          <w:color w:val="auto"/>
          <w:sz w:val="24"/>
          <w:highlight w:val="none"/>
          <w:lang w:eastAsia="zh-CN"/>
        </w:rPr>
        <w:t>学校组织的</w:t>
      </w:r>
      <w:r>
        <w:rPr>
          <w:rFonts w:hint="eastAsia"/>
          <w:color w:val="auto"/>
          <w:sz w:val="24"/>
          <w:highlight w:val="none"/>
        </w:rPr>
        <w:t>志愿者活动加1分，评为优秀志愿者加2分，</w:t>
      </w:r>
      <w:r>
        <w:rPr>
          <w:rFonts w:hint="eastAsia"/>
          <w:color w:val="auto"/>
          <w:sz w:val="24"/>
          <w:highlight w:val="none"/>
          <w:lang w:val="en-US" w:eastAsia="zh-CN"/>
        </w:rPr>
        <w:t>抗疫志愿者加5分，</w:t>
      </w:r>
      <w:r>
        <w:rPr>
          <w:rFonts w:hint="eastAsia"/>
          <w:color w:val="auto"/>
          <w:sz w:val="24"/>
          <w:highlight w:val="none"/>
        </w:rPr>
        <w:t>志愿者活动加分不累积</w:t>
      </w:r>
      <w:r>
        <w:rPr>
          <w:rFonts w:hint="eastAsia"/>
          <w:color w:val="auto"/>
          <w:sz w:val="24"/>
          <w:highlight w:val="none"/>
          <w:lang w:eastAsia="zh-CN"/>
        </w:rPr>
        <w:t>；</w:t>
      </w:r>
      <w:r>
        <w:rPr>
          <w:rFonts w:hint="eastAsia"/>
          <w:color w:val="auto"/>
          <w:sz w:val="24"/>
          <w:highlight w:val="none"/>
          <w:lang w:val="en-US" w:eastAsia="zh-CN"/>
        </w:rPr>
        <w:t>好人好事被媒体公开报道的加3分。</w:t>
      </w:r>
    </w:p>
    <w:p>
      <w:pPr>
        <w:numPr>
          <w:ilvl w:val="0"/>
          <w:numId w:val="1"/>
        </w:numPr>
        <w:spacing w:beforeLines="50" w:line="400" w:lineRule="exact"/>
        <w:ind w:hanging="357"/>
        <w:rPr>
          <w:b/>
          <w:bCs/>
          <w:color w:val="auto"/>
          <w:sz w:val="24"/>
          <w:highlight w:val="none"/>
        </w:rPr>
      </w:pPr>
      <w:r>
        <w:rPr>
          <w:rFonts w:hint="eastAsia"/>
          <w:b/>
          <w:bCs/>
          <w:color w:val="auto"/>
          <w:sz w:val="24"/>
          <w:highlight w:val="none"/>
        </w:rPr>
        <w:t>学习科研（C+D）</w:t>
      </w:r>
    </w:p>
    <w:p>
      <w:pPr>
        <w:pStyle w:val="13"/>
        <w:adjustRightInd w:val="0"/>
        <w:snapToGrid w:val="0"/>
        <w:spacing w:line="400" w:lineRule="exact"/>
        <w:ind w:left="465" w:firstLine="0" w:firstLineChars="0"/>
        <w:rPr>
          <w:color w:val="auto"/>
          <w:sz w:val="24"/>
        </w:rPr>
      </w:pPr>
      <w:r>
        <w:rPr>
          <w:rFonts w:hint="eastAsia"/>
          <w:bCs/>
          <w:color w:val="auto"/>
          <w:sz w:val="24"/>
        </w:rPr>
        <w:t>学习科研得分</w:t>
      </w:r>
      <w:r>
        <w:rPr>
          <w:rFonts w:hint="eastAsia"/>
          <w:color w:val="auto"/>
          <w:sz w:val="24"/>
        </w:rPr>
        <w:t>＝C+D。即</w:t>
      </w:r>
      <w:r>
        <w:rPr>
          <w:rFonts w:hint="eastAsia"/>
          <w:bCs/>
          <w:color w:val="auto"/>
          <w:sz w:val="24"/>
        </w:rPr>
        <w:t>学习科研</w:t>
      </w:r>
      <w:r>
        <w:rPr>
          <w:rFonts w:hint="eastAsia"/>
          <w:color w:val="auto"/>
          <w:sz w:val="24"/>
        </w:rPr>
        <w:t>的得分有两部分构成：</w:t>
      </w:r>
      <w:r>
        <w:rPr>
          <w:rFonts w:hint="eastAsia"/>
          <w:i/>
          <w:color w:val="auto"/>
          <w:sz w:val="24"/>
        </w:rPr>
        <w:t>学习成绩(C)</w:t>
      </w:r>
      <w:r>
        <w:rPr>
          <w:rFonts w:hint="eastAsia"/>
          <w:color w:val="auto"/>
          <w:sz w:val="24"/>
        </w:rPr>
        <w:t>和</w:t>
      </w:r>
      <w:r>
        <w:rPr>
          <w:rFonts w:hint="eastAsia"/>
          <w:i/>
          <w:color w:val="auto"/>
          <w:sz w:val="24"/>
        </w:rPr>
        <w:t>科研(D)，</w:t>
      </w:r>
      <w:r>
        <w:rPr>
          <w:rFonts w:hint="eastAsia"/>
          <w:bCs/>
          <w:color w:val="auto"/>
          <w:sz w:val="24"/>
        </w:rPr>
        <w:t>其中：</w:t>
      </w:r>
    </w:p>
    <w:p>
      <w:pPr>
        <w:spacing w:line="400" w:lineRule="exact"/>
        <w:ind w:firstLine="472" w:firstLineChars="196"/>
        <w:rPr>
          <w:color w:val="auto"/>
          <w:sz w:val="24"/>
        </w:rPr>
      </w:pPr>
      <w:r>
        <w:rPr>
          <w:rFonts w:hint="eastAsia"/>
          <w:b/>
          <w:color w:val="auto"/>
          <w:sz w:val="24"/>
        </w:rPr>
        <w:t>学习成绩C</w:t>
      </w:r>
      <w:r>
        <w:rPr>
          <w:rFonts w:hint="eastAsia"/>
          <w:color w:val="auto"/>
          <w:sz w:val="24"/>
        </w:rPr>
        <w:t>（50分）</w:t>
      </w:r>
    </w:p>
    <w:p>
      <w:pPr>
        <w:spacing w:line="400" w:lineRule="exact"/>
        <w:ind w:firstLine="472" w:firstLineChars="196"/>
        <w:rPr>
          <w:color w:val="auto"/>
          <w:sz w:val="24"/>
        </w:rPr>
      </w:pPr>
      <w:r>
        <w:rPr>
          <w:rFonts w:hint="eastAsia"/>
          <w:b/>
          <w:color w:val="auto"/>
          <w:sz w:val="24"/>
        </w:rPr>
        <w:t>C</w:t>
      </w:r>
      <w:r>
        <w:rPr>
          <w:rFonts w:hint="eastAsia"/>
          <w:color w:val="auto"/>
          <w:sz w:val="24"/>
        </w:rPr>
        <w:t>＝专（公）必修课平均分×50%</w:t>
      </w:r>
    </w:p>
    <w:p>
      <w:pPr>
        <w:spacing w:line="400" w:lineRule="exact"/>
        <w:ind w:firstLine="472" w:firstLineChars="196"/>
        <w:rPr>
          <w:rFonts w:hint="eastAsia"/>
          <w:b/>
          <w:bCs/>
          <w:color w:val="auto"/>
          <w:sz w:val="24"/>
          <w:lang w:val="en-US" w:eastAsia="zh-CN"/>
        </w:rPr>
      </w:pPr>
      <w:r>
        <w:rPr>
          <w:rFonts w:hint="eastAsia"/>
          <w:b/>
          <w:bCs/>
          <w:color w:val="auto"/>
          <w:sz w:val="24"/>
        </w:rPr>
        <w:t>科研</w:t>
      </w:r>
      <w:r>
        <w:rPr>
          <w:rFonts w:hint="eastAsia"/>
          <w:b/>
          <w:bCs/>
          <w:color w:val="auto"/>
          <w:sz w:val="24"/>
          <w:lang w:val="en-US" w:eastAsia="zh-CN"/>
        </w:rPr>
        <w:t>成绩D</w:t>
      </w:r>
    </w:p>
    <w:p>
      <w:pPr>
        <w:spacing w:line="400" w:lineRule="exact"/>
        <w:ind w:firstLine="472" w:firstLineChars="196"/>
        <w:rPr>
          <w:b/>
          <w:bCs/>
          <w:color w:val="auto"/>
          <w:sz w:val="24"/>
        </w:rPr>
      </w:pPr>
      <w:r>
        <w:rPr>
          <w:rFonts w:hint="eastAsia"/>
          <w:b/>
          <w:bCs/>
          <w:color w:val="auto"/>
          <w:sz w:val="24"/>
          <w:lang w:val="en-US" w:eastAsia="zh-CN"/>
        </w:rPr>
        <w:t>D=科研得分</w:t>
      </w:r>
      <w:r>
        <w:rPr>
          <w:rFonts w:hint="eastAsia"/>
          <w:color w:val="auto"/>
          <w:sz w:val="24"/>
        </w:rPr>
        <w:t>×50%（</w:t>
      </w:r>
      <w:r>
        <w:rPr>
          <w:rFonts w:hint="eastAsia"/>
          <w:bCs/>
          <w:color w:val="auto"/>
          <w:sz w:val="24"/>
        </w:rPr>
        <w:t>科研得分不封顶</w:t>
      </w:r>
      <w:r>
        <w:rPr>
          <w:rFonts w:hint="eastAsia"/>
          <w:color w:val="auto"/>
          <w:sz w:val="24"/>
        </w:rPr>
        <w:t>）</w:t>
      </w:r>
    </w:p>
    <w:p>
      <w:pPr>
        <w:spacing w:line="400" w:lineRule="exact"/>
        <w:ind w:firstLine="468" w:firstLineChars="195"/>
        <w:rPr>
          <w:b/>
          <w:bCs/>
          <w:color w:val="auto"/>
          <w:sz w:val="24"/>
        </w:rPr>
      </w:pPr>
      <w:r>
        <w:rPr>
          <w:rFonts w:hint="eastAsia"/>
          <w:bCs/>
          <w:color w:val="auto"/>
          <w:sz w:val="24"/>
          <w:lang w:val="en-US" w:eastAsia="zh-CN"/>
        </w:rPr>
        <w:t>科研得分</w:t>
      </w:r>
      <w:r>
        <w:rPr>
          <w:rFonts w:hint="eastAsia"/>
          <w:bCs/>
          <w:color w:val="auto"/>
          <w:sz w:val="24"/>
        </w:rPr>
        <w:t>的计算方法见附件的科研评分标准。</w:t>
      </w:r>
    </w:p>
    <w:p>
      <w:pPr>
        <w:numPr>
          <w:ilvl w:val="0"/>
          <w:numId w:val="1"/>
        </w:numPr>
        <w:spacing w:beforeLines="50" w:line="400" w:lineRule="exact"/>
        <w:ind w:hanging="357"/>
        <w:rPr>
          <w:b/>
          <w:bCs/>
          <w:color w:val="auto"/>
          <w:sz w:val="24"/>
        </w:rPr>
      </w:pPr>
      <w:r>
        <w:rPr>
          <w:rFonts w:hint="eastAsia"/>
          <w:b/>
          <w:bCs/>
          <w:color w:val="auto"/>
          <w:sz w:val="24"/>
        </w:rPr>
        <w:t>工作能力（G）</w:t>
      </w:r>
      <w:r>
        <w:rPr>
          <w:rFonts w:hint="eastAsia"/>
          <w:bCs/>
          <w:color w:val="auto"/>
          <w:sz w:val="24"/>
        </w:rPr>
        <w:t>（10分）</w:t>
      </w:r>
    </w:p>
    <w:p>
      <w:pPr>
        <w:pStyle w:val="13"/>
        <w:spacing w:line="400" w:lineRule="exact"/>
        <w:ind w:left="465" w:firstLine="0" w:firstLineChars="0"/>
        <w:rPr>
          <w:color w:val="auto"/>
          <w:sz w:val="24"/>
        </w:rPr>
      </w:pPr>
      <w:r>
        <w:rPr>
          <w:rFonts w:hint="eastAsia"/>
          <w:b/>
          <w:bCs/>
          <w:color w:val="auto"/>
          <w:sz w:val="24"/>
        </w:rPr>
        <w:t>G: 加分项</w:t>
      </w:r>
      <w:r>
        <w:rPr>
          <w:rFonts w:hint="eastAsia"/>
          <w:color w:val="auto"/>
          <w:sz w:val="24"/>
        </w:rPr>
        <w:t>：（申报加分需提供相关证明及复印件）</w:t>
      </w:r>
    </w:p>
    <w:p>
      <w:pPr>
        <w:pStyle w:val="13"/>
        <w:spacing w:line="400" w:lineRule="exact"/>
        <w:ind w:left="465" w:firstLine="0" w:firstLineChars="0"/>
        <w:rPr>
          <w:rFonts w:hint="eastAsia"/>
          <w:color w:val="auto"/>
          <w:sz w:val="24"/>
          <w:lang w:val="en-US" w:eastAsia="zh-CN"/>
        </w:rPr>
      </w:pPr>
      <w:r>
        <w:rPr>
          <w:rFonts w:hint="eastAsia"/>
          <w:color w:val="auto"/>
          <w:sz w:val="24"/>
        </w:rPr>
        <w:t>担任班干部（班长、团支书、</w:t>
      </w:r>
      <w:r>
        <w:rPr>
          <w:rFonts w:hint="eastAsia"/>
          <w:color w:val="auto"/>
          <w:sz w:val="24"/>
          <w:szCs w:val="24"/>
          <w:highlight w:val="none"/>
        </w:rPr>
        <w:t>党支部</w:t>
      </w:r>
      <w:r>
        <w:rPr>
          <w:rFonts w:hint="eastAsia"/>
          <w:color w:val="auto"/>
          <w:sz w:val="24"/>
          <w:szCs w:val="24"/>
          <w:highlight w:val="none"/>
          <w:lang w:val="en-US" w:eastAsia="zh-CN"/>
        </w:rPr>
        <w:t>书记及委员</w:t>
      </w:r>
      <w:r>
        <w:rPr>
          <w:rFonts w:hint="eastAsia"/>
          <w:color w:val="auto"/>
          <w:sz w:val="24"/>
        </w:rPr>
        <w:t>）</w:t>
      </w:r>
      <w:r>
        <w:rPr>
          <w:rFonts w:hint="eastAsia"/>
          <w:color w:val="auto"/>
          <w:sz w:val="24"/>
          <w:lang w:val="en-US" w:eastAsia="zh-CN"/>
        </w:rPr>
        <w:t>加5分；</w:t>
      </w:r>
    </w:p>
    <w:p>
      <w:pPr>
        <w:pStyle w:val="13"/>
        <w:spacing w:line="400" w:lineRule="exact"/>
        <w:ind w:left="465" w:firstLine="0" w:firstLineChars="0"/>
        <w:rPr>
          <w:color w:val="auto"/>
          <w:sz w:val="24"/>
        </w:rPr>
      </w:pPr>
      <w:r>
        <w:rPr>
          <w:rFonts w:hint="eastAsia"/>
          <w:color w:val="auto"/>
          <w:sz w:val="24"/>
        </w:rPr>
        <w:t>学院研究生会干部、校研究生会干部等，加</w:t>
      </w:r>
      <w:r>
        <w:rPr>
          <w:rFonts w:hint="eastAsia"/>
          <w:color w:val="auto"/>
          <w:sz w:val="24"/>
          <w:lang w:val="en-US" w:eastAsia="zh-CN"/>
        </w:rPr>
        <w:t>4</w:t>
      </w:r>
      <w:r>
        <w:rPr>
          <w:rFonts w:hint="eastAsia"/>
          <w:color w:val="auto"/>
          <w:sz w:val="24"/>
        </w:rPr>
        <w:t>分；</w:t>
      </w:r>
    </w:p>
    <w:p>
      <w:pPr>
        <w:pStyle w:val="13"/>
        <w:spacing w:line="400" w:lineRule="exact"/>
        <w:ind w:left="465" w:firstLine="0" w:firstLineChars="0"/>
        <w:rPr>
          <w:color w:val="auto"/>
          <w:sz w:val="24"/>
        </w:rPr>
      </w:pPr>
      <w:r>
        <w:rPr>
          <w:rFonts w:hint="eastAsia"/>
          <w:color w:val="auto"/>
          <w:sz w:val="24"/>
        </w:rPr>
        <w:t>获校优秀学生党员、校优秀团员（团干部）称号，加</w:t>
      </w:r>
      <w:r>
        <w:rPr>
          <w:rFonts w:hint="eastAsia"/>
          <w:color w:val="auto"/>
          <w:sz w:val="24"/>
          <w:lang w:val="en-US" w:eastAsia="zh-CN"/>
        </w:rPr>
        <w:t>1</w:t>
      </w:r>
      <w:r>
        <w:rPr>
          <w:rFonts w:hint="eastAsia"/>
          <w:color w:val="auto"/>
          <w:sz w:val="24"/>
        </w:rPr>
        <w:t>分；</w:t>
      </w:r>
    </w:p>
    <w:p>
      <w:pPr>
        <w:pStyle w:val="13"/>
        <w:spacing w:line="400" w:lineRule="exact"/>
        <w:ind w:left="465" w:firstLine="0" w:firstLineChars="0"/>
        <w:rPr>
          <w:color w:val="auto"/>
          <w:sz w:val="24"/>
        </w:rPr>
      </w:pPr>
      <w:r>
        <w:rPr>
          <w:rFonts w:hint="eastAsia"/>
          <w:color w:val="auto"/>
          <w:sz w:val="24"/>
        </w:rPr>
        <w:t>以上各项，都为研究生在读期间所获。</w:t>
      </w:r>
    </w:p>
    <w:p>
      <w:pPr>
        <w:numPr>
          <w:ilvl w:val="0"/>
          <w:numId w:val="1"/>
        </w:numPr>
        <w:spacing w:beforeLines="50" w:line="400" w:lineRule="exact"/>
        <w:ind w:hanging="357"/>
        <w:rPr>
          <w:b/>
          <w:bCs/>
          <w:color w:val="auto"/>
          <w:sz w:val="24"/>
        </w:rPr>
      </w:pPr>
      <w:r>
        <w:rPr>
          <w:rFonts w:hint="eastAsia" w:asciiTheme="minorEastAsia" w:hAnsiTheme="minorEastAsia" w:eastAsiaTheme="minorEastAsia"/>
          <w:b/>
          <w:color w:val="auto"/>
          <w:sz w:val="24"/>
        </w:rPr>
        <w:t>总分=思想品德得分+学习科研得分+工作能力得分</w:t>
      </w:r>
    </w:p>
    <w:p>
      <w:pPr>
        <w:spacing w:line="400" w:lineRule="exact"/>
        <w:rPr>
          <w:color w:val="auto"/>
          <w:sz w:val="24"/>
        </w:rPr>
      </w:pPr>
    </w:p>
    <w:p>
      <w:pPr>
        <w:spacing w:line="400" w:lineRule="exact"/>
        <w:ind w:left="210" w:leftChars="100" w:firstLine="235" w:firstLineChars="98"/>
        <w:rPr>
          <w:color w:val="auto"/>
          <w:sz w:val="24"/>
        </w:rPr>
      </w:pPr>
      <w:r>
        <w:rPr>
          <w:rFonts w:hint="eastAsia"/>
          <w:color w:val="auto"/>
          <w:sz w:val="24"/>
        </w:rPr>
        <w:t xml:space="preserve">                                                           商学院</w:t>
      </w:r>
    </w:p>
    <w:p>
      <w:pPr>
        <w:wordWrap w:val="0"/>
        <w:spacing w:line="400" w:lineRule="exact"/>
        <w:ind w:left="210" w:leftChars="100" w:firstLine="6952" w:firstLineChars="2897"/>
        <w:rPr>
          <w:color w:val="auto"/>
          <w:sz w:val="24"/>
        </w:rPr>
      </w:pPr>
      <w:r>
        <w:rPr>
          <w:rFonts w:hint="eastAsia"/>
          <w:color w:val="auto"/>
          <w:sz w:val="24"/>
        </w:rPr>
        <w:t xml:space="preserve"> 20</w:t>
      </w:r>
      <w:r>
        <w:rPr>
          <w:rFonts w:hint="eastAsia"/>
          <w:color w:val="auto"/>
          <w:sz w:val="24"/>
          <w:lang w:val="en-US" w:eastAsia="zh-CN"/>
        </w:rPr>
        <w:t>20</w:t>
      </w:r>
      <w:r>
        <w:rPr>
          <w:rFonts w:hint="eastAsia"/>
          <w:color w:val="auto"/>
          <w:sz w:val="24"/>
          <w:lang w:eastAsia="zh-CN"/>
        </w:rPr>
        <w:t>年</w:t>
      </w:r>
      <w:r>
        <w:rPr>
          <w:rFonts w:hint="eastAsia"/>
          <w:color w:val="auto"/>
          <w:sz w:val="24"/>
        </w:rPr>
        <w:t>11</w:t>
      </w:r>
      <w:r>
        <w:rPr>
          <w:rFonts w:hint="eastAsia"/>
          <w:color w:val="auto"/>
          <w:sz w:val="24"/>
          <w:lang w:eastAsia="zh-CN"/>
        </w:rPr>
        <w:t>月</w:t>
      </w:r>
      <w:r>
        <w:rPr>
          <w:rFonts w:hint="eastAsia"/>
          <w:color w:val="auto"/>
          <w:sz w:val="24"/>
        </w:rPr>
        <w:t xml:space="preserve">  </w:t>
      </w:r>
    </w:p>
    <w:p>
      <w:pPr>
        <w:wordWrap w:val="0"/>
        <w:spacing w:line="400" w:lineRule="exact"/>
        <w:ind w:left="210" w:leftChars="100" w:firstLine="6952" w:firstLineChars="2897"/>
        <w:rPr>
          <w:color w:val="auto"/>
          <w:sz w:val="24"/>
        </w:rPr>
      </w:pPr>
    </w:p>
    <w:p>
      <w:pPr>
        <w:wordWrap w:val="0"/>
        <w:spacing w:line="400" w:lineRule="exact"/>
        <w:ind w:left="210" w:leftChars="100" w:firstLine="6952" w:firstLineChars="2897"/>
        <w:rPr>
          <w:color w:val="auto"/>
          <w:sz w:val="24"/>
        </w:rPr>
      </w:pPr>
    </w:p>
    <w:p>
      <w:pPr>
        <w:wordWrap w:val="0"/>
        <w:spacing w:line="400" w:lineRule="exact"/>
        <w:ind w:left="210" w:leftChars="100" w:firstLine="6952" w:firstLineChars="2897"/>
        <w:rPr>
          <w:color w:val="auto"/>
          <w:sz w:val="24"/>
        </w:rPr>
      </w:pPr>
    </w:p>
    <w:p>
      <w:pPr>
        <w:wordWrap w:val="0"/>
        <w:spacing w:line="400" w:lineRule="exact"/>
        <w:ind w:left="210" w:leftChars="100" w:firstLine="6952" w:firstLineChars="2897"/>
        <w:rPr>
          <w:color w:val="auto"/>
          <w:sz w:val="24"/>
        </w:rPr>
      </w:pPr>
    </w:p>
    <w:p>
      <w:pPr>
        <w:wordWrap w:val="0"/>
        <w:spacing w:line="400" w:lineRule="exact"/>
        <w:ind w:left="210" w:leftChars="100" w:firstLine="6952" w:firstLineChars="2897"/>
        <w:rPr>
          <w:color w:val="auto"/>
          <w:sz w:val="24"/>
        </w:rPr>
      </w:pPr>
    </w:p>
    <w:p>
      <w:pPr>
        <w:spacing w:line="360" w:lineRule="auto"/>
        <w:ind w:firstLine="118" w:firstLineChars="49"/>
        <w:rPr>
          <w:rFonts w:ascii="微软雅黑" w:hAnsi="微软雅黑" w:eastAsia="微软雅黑"/>
          <w:b/>
          <w:color w:val="auto"/>
          <w:sz w:val="24"/>
        </w:rPr>
      </w:pPr>
      <w:r>
        <w:rPr>
          <w:rFonts w:hint="eastAsia" w:ascii="微软雅黑" w:hAnsi="微软雅黑" w:eastAsia="微软雅黑"/>
          <w:b/>
          <w:color w:val="auto"/>
          <w:sz w:val="24"/>
        </w:rPr>
        <w:t>附件：商学院研究生优秀学生、优秀学生干部及优秀毕业生科研评分标准</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93"/>
        <w:gridCol w:w="2600"/>
        <w:gridCol w:w="1227"/>
        <w:gridCol w:w="1418"/>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r>
              <w:rPr>
                <w:rFonts w:hint="eastAsia"/>
                <w:color w:val="auto"/>
                <w:sz w:val="24"/>
              </w:rPr>
              <w:t>成果类型</w:t>
            </w: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r>
              <w:rPr>
                <w:rFonts w:hint="eastAsia"/>
                <w:color w:val="auto"/>
                <w:sz w:val="24"/>
              </w:rPr>
              <w:t>成果等级</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r>
              <w:rPr>
                <w:rFonts w:hint="eastAsia"/>
                <w:color w:val="auto"/>
                <w:sz w:val="24"/>
              </w:rPr>
              <w:t>成果中排名</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r>
              <w:rPr>
                <w:rFonts w:hint="eastAsia"/>
                <w:color w:val="auto"/>
                <w:sz w:val="24"/>
              </w:rPr>
              <w:t>得分值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restart"/>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Autospacing="0" w:line="312" w:lineRule="auto"/>
              <w:jc w:val="center"/>
              <w:textAlignment w:val="auto"/>
              <w:rPr>
                <w:rFonts w:hint="eastAsia"/>
                <w:color w:val="auto"/>
              </w:rPr>
            </w:pPr>
            <w:r>
              <w:rPr>
                <w:rFonts w:ascii="宋体" w:hAnsi="宋体" w:cs="宋体"/>
                <w:color w:val="auto"/>
              </w:rPr>
              <w:t>研究生一 作或与导 师合作发 表论文 (导师一 作，学生 二作)</w:t>
            </w: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A类或SSCI及</w:t>
            </w:r>
            <w:r>
              <w:rPr>
                <w:rFonts w:hint="eastAsia" w:ascii="宋体" w:hAnsi="宋体"/>
                <w:color w:val="auto"/>
                <w:szCs w:val="21"/>
              </w:rPr>
              <w:t>A＆HCI来源</w:t>
            </w:r>
            <w:r>
              <w:rPr>
                <w:rFonts w:hint="eastAsia"/>
                <w:color w:val="auto"/>
                <w:szCs w:val="21"/>
              </w:rPr>
              <w:t>期刊</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B1类期刊</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B2类期刊</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C类（含CSSCI来源，CSSCI扩展或CSSCI集刊）期刊</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color w:val="auto"/>
                <w:szCs w:val="21"/>
              </w:rPr>
            </w:pPr>
            <w:r>
              <w:rPr>
                <w:rFonts w:hint="eastAsia"/>
                <w:color w:val="auto"/>
                <w:szCs w:val="21"/>
              </w:rPr>
              <w:t>D类，北大中文核心，院刊</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经济或管理等类核心期刊</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一般期刊</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r>
              <w:rPr>
                <w:color w:val="auto"/>
                <w:sz w:val="24"/>
              </w:rPr>
              <w:t>研究生主持科研项目</w:t>
            </w: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国家级科研项目</w:t>
            </w:r>
            <w:r>
              <w:rPr>
                <w:color w:val="auto"/>
                <w:szCs w:val="21"/>
              </w:rPr>
              <w:t>:自科面上，社科一般</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1,2,3,4</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上海市或部级科研项目</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市教委科研项目</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w:t>
            </w:r>
            <w:r>
              <w:rPr>
                <w:color w:val="auto"/>
                <w:szCs w:val="21"/>
              </w:rPr>
              <w:t>,3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校级科研项目</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 w:val="24"/>
              </w:rPr>
            </w:pP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校团委科研项目</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4820" w:type="dxa"/>
            <w:gridSpan w:val="3"/>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申报各类科研项目（未获得批准）</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restart"/>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Autospacing="0" w:line="312" w:lineRule="auto"/>
              <w:jc w:val="center"/>
              <w:textAlignment w:val="auto"/>
              <w:rPr>
                <w:rFonts w:hint="eastAsia"/>
                <w:color w:val="auto"/>
              </w:rPr>
            </w:pPr>
            <w:r>
              <w:rPr>
                <w:rFonts w:ascii="宋体" w:hAnsi="宋体" w:cs="宋体"/>
                <w:color w:val="auto"/>
              </w:rPr>
              <w:t>研究生 主持的 科研获 奖</w:t>
            </w:r>
          </w:p>
        </w:tc>
        <w:tc>
          <w:tcPr>
            <w:tcW w:w="993" w:type="dxa"/>
            <w:vMerge w:val="restart"/>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Autospacing="0" w:line="312" w:lineRule="auto"/>
              <w:jc w:val="center"/>
              <w:textAlignment w:val="auto"/>
              <w:rPr>
                <w:rFonts w:hint="eastAsia"/>
                <w:color w:val="auto"/>
                <w:szCs w:val="21"/>
              </w:rPr>
            </w:pPr>
            <w:r>
              <w:rPr>
                <w:rFonts w:ascii="宋体" w:hAnsi="宋体" w:cs="宋体"/>
                <w:color w:val="auto"/>
                <w:sz w:val="20"/>
                <w:szCs w:val="20"/>
              </w:rPr>
              <w:t>科研成 果奖(含 研究报 告)</w:t>
            </w: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国家级科研奖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1,2,3,4</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1,2,3,4</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1,2,3,4</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上海市级科研奖励</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上海市教委级科研奖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校级科研奖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学术会议论文获奖</w:t>
            </w: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rPr>
            </w:pPr>
            <w:r>
              <w:rPr>
                <w:rFonts w:hint="eastAsia"/>
                <w:color w:val="auto"/>
              </w:rPr>
              <w:t>国家一级学会举办的全国性会议论文奖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color w:val="auto"/>
                <w:szCs w:val="21"/>
              </w:rPr>
            </w:pPr>
            <w:r>
              <w:rPr>
                <w:rFonts w:hint="eastAsia"/>
                <w:color w:val="auto"/>
                <w:szCs w:val="21"/>
              </w:rPr>
              <w:t>1,2,3,4</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1,2,3,4</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1,2,3,4</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rPr>
            </w:pPr>
            <w:r>
              <w:rPr>
                <w:rFonts w:hint="eastAsia"/>
                <w:color w:val="auto"/>
              </w:rPr>
              <w:t>国家一级学会专委会举办的全国性会议或二级学会举办的全国性会议论文奖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rPr>
            </w:pPr>
            <w:r>
              <w:rPr>
                <w:rFonts w:hint="eastAsia"/>
                <w:color w:val="auto"/>
              </w:rPr>
              <w:t>二级学会专委会举办的全国性、区域性会议论文奖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color w:val="auto"/>
              </w:rPr>
            </w:pPr>
            <w:r>
              <w:rPr>
                <w:rFonts w:hint="eastAsia"/>
                <w:color w:val="auto"/>
              </w:rPr>
              <w:t>校级及其它论坛论文奖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color w:val="auto"/>
                <w:szCs w:val="21"/>
              </w:rPr>
            </w:pPr>
            <w:r>
              <w:rPr>
                <w:rFonts w:hint="eastAsia"/>
                <w:color w:val="auto"/>
                <w:szCs w:val="21"/>
              </w:rPr>
              <w:t>学科竞赛获奖</w:t>
            </w:r>
          </w:p>
        </w:tc>
        <w:tc>
          <w:tcPr>
            <w:tcW w:w="260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color w:val="auto"/>
                <w:szCs w:val="21"/>
              </w:rPr>
            </w:pPr>
            <w:r>
              <w:rPr>
                <w:rFonts w:hint="eastAsia"/>
                <w:color w:val="auto"/>
                <w:szCs w:val="21"/>
              </w:rPr>
              <w:t>国家级奖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市级奖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厅局级奖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1,2,3</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校级奖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1,2</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院级奖</w:t>
            </w: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一等奖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二等奖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127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ind w:left="108"/>
              <w:jc w:val="center"/>
              <w:textAlignment w:val="auto"/>
              <w:rPr>
                <w:rFonts w:hint="eastAsia"/>
                <w:color w:val="auto"/>
                <w:sz w:val="24"/>
              </w:rPr>
            </w:pPr>
          </w:p>
        </w:tc>
        <w:tc>
          <w:tcPr>
            <w:tcW w:w="993"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p>
        </w:tc>
        <w:tc>
          <w:tcPr>
            <w:tcW w:w="1227"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三等奖</w:t>
            </w:r>
          </w:p>
        </w:tc>
        <w:tc>
          <w:tcPr>
            <w:tcW w:w="1418"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rFonts w:hint="eastAsia"/>
                <w:color w:val="auto"/>
                <w:szCs w:val="21"/>
              </w:rPr>
              <w:t>1</w:t>
            </w:r>
          </w:p>
        </w:tc>
        <w:tc>
          <w:tcPr>
            <w:tcW w:w="985" w:type="dxa"/>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color w:val="auto"/>
                <w:szCs w:val="21"/>
              </w:rPr>
            </w:pPr>
            <w:r>
              <w:rPr>
                <w:color w:val="auto"/>
                <w:szCs w:val="21"/>
              </w:rPr>
              <w:t>0.4</w:t>
            </w:r>
          </w:p>
        </w:tc>
      </w:tr>
    </w:tbl>
    <w:p>
      <w:pPr>
        <w:adjustRightInd w:val="0"/>
        <w:snapToGrid w:val="0"/>
        <w:spacing w:line="360" w:lineRule="auto"/>
        <w:rPr>
          <w:rFonts w:ascii="宋体" w:hAnsi="宋体" w:cs="宋体"/>
          <w:color w:val="auto"/>
          <w:sz w:val="24"/>
        </w:rPr>
      </w:pPr>
    </w:p>
    <w:p>
      <w:pPr>
        <w:adjustRightInd w:val="0"/>
        <w:snapToGrid w:val="0"/>
        <w:spacing w:line="360" w:lineRule="auto"/>
        <w:rPr>
          <w:rFonts w:hint="eastAsia" w:ascii="宋体" w:hAnsi="宋体" w:cs="宋体"/>
          <w:color w:val="auto"/>
          <w:sz w:val="21"/>
          <w:szCs w:val="21"/>
        </w:rPr>
      </w:pPr>
      <w:r>
        <w:rPr>
          <w:rFonts w:hint="eastAsia" w:ascii="宋体" w:hAnsi="宋体" w:cs="宋体"/>
          <w:color w:val="auto"/>
          <w:sz w:val="21"/>
          <w:szCs w:val="21"/>
        </w:rPr>
        <w:t>评分</w:t>
      </w:r>
      <w:r>
        <w:rPr>
          <w:rFonts w:ascii="宋体" w:hAnsi="宋体" w:cs="宋体"/>
          <w:color w:val="auto"/>
          <w:sz w:val="21"/>
          <w:szCs w:val="21"/>
        </w:rPr>
        <w:t>标准表</w:t>
      </w:r>
      <w:r>
        <w:rPr>
          <w:rFonts w:hint="eastAsia" w:ascii="宋体" w:hAnsi="宋体" w:cs="宋体"/>
          <w:color w:val="auto"/>
          <w:sz w:val="21"/>
          <w:szCs w:val="21"/>
        </w:rPr>
        <w:t>注：</w:t>
      </w:r>
    </w:p>
    <w:p>
      <w:pPr>
        <w:adjustRightInd w:val="0"/>
        <w:snapToGrid w:val="0"/>
        <w:spacing w:line="360" w:lineRule="auto"/>
        <w:ind w:firstLine="315" w:firstLineChars="150"/>
        <w:rPr>
          <w:rFonts w:ascii="宋体" w:hAnsi="宋体" w:cs="宋体"/>
          <w:color w:val="auto"/>
          <w:sz w:val="21"/>
          <w:szCs w:val="21"/>
        </w:rPr>
      </w:pPr>
      <w:r>
        <w:rPr>
          <w:rFonts w:hint="eastAsia" w:ascii="宋体" w:hAnsi="宋体" w:cs="宋体"/>
          <w:color w:val="auto"/>
          <w:sz w:val="21"/>
          <w:szCs w:val="21"/>
        </w:rPr>
        <w:t>上述科研成果（包括文章</w:t>
      </w:r>
      <w:r>
        <w:rPr>
          <w:rFonts w:ascii="宋体" w:hAnsi="宋体" w:cs="宋体"/>
          <w:color w:val="auto"/>
          <w:sz w:val="21"/>
          <w:szCs w:val="21"/>
        </w:rPr>
        <w:t>、项目与荣誉获奖等</w:t>
      </w:r>
      <w:r>
        <w:rPr>
          <w:rFonts w:hint="eastAsia" w:ascii="宋体" w:hAnsi="宋体" w:cs="宋体"/>
          <w:color w:val="auto"/>
          <w:sz w:val="21"/>
          <w:szCs w:val="21"/>
        </w:rPr>
        <w:t>）主要认定原则为“成果责任者与责任单位为第一署名、奖励就高不就低、 不完全重复奖励”。第一署名即为第一署名单位为“上海师范大学”的第一责任者， 以及第一作者单位和通讯联系单位都为“上海师范大学”的通讯作者。</w:t>
      </w:r>
    </w:p>
    <w:p>
      <w:pPr>
        <w:adjustRightInd w:val="0"/>
        <w:snapToGrid w:val="0"/>
        <w:spacing w:line="360" w:lineRule="auto"/>
        <w:ind w:firstLine="315" w:firstLineChars="150"/>
        <w:rPr>
          <w:rFonts w:hint="eastAsia" w:ascii="宋体" w:hAnsi="宋体" w:cs="宋体"/>
          <w:color w:val="auto"/>
          <w:sz w:val="21"/>
          <w:szCs w:val="21"/>
        </w:rPr>
      </w:pPr>
      <w:r>
        <w:rPr>
          <w:rFonts w:hint="eastAsia" w:ascii="宋体" w:hAnsi="宋体" w:cs="宋体"/>
          <w:color w:val="auto"/>
          <w:sz w:val="21"/>
          <w:szCs w:val="21"/>
        </w:rPr>
        <w:t>所有科研成果或奖项都须为申报者在读研期间自上一次获奖以来新取得的。研究生对这些成果的完成做出的实质性主要贡献，为第一署名或</w:t>
      </w:r>
      <w:r>
        <w:rPr>
          <w:rFonts w:ascii="宋体" w:hAnsi="宋体" w:cs="宋体"/>
          <w:color w:val="auto"/>
          <w:sz w:val="21"/>
          <w:szCs w:val="21"/>
        </w:rPr>
        <w:t>学生</w:t>
      </w:r>
      <w:r>
        <w:rPr>
          <w:rFonts w:hint="eastAsia" w:ascii="宋体" w:hAnsi="宋体" w:cs="宋体"/>
          <w:color w:val="auto"/>
          <w:sz w:val="21"/>
          <w:szCs w:val="21"/>
        </w:rPr>
        <w:t>中</w:t>
      </w:r>
      <w:r>
        <w:rPr>
          <w:rFonts w:ascii="宋体" w:hAnsi="宋体" w:cs="宋体"/>
          <w:color w:val="auto"/>
          <w:sz w:val="21"/>
          <w:szCs w:val="21"/>
        </w:rPr>
        <w:t>第一责任人</w:t>
      </w:r>
      <w:r>
        <w:rPr>
          <w:rFonts w:hint="eastAsia" w:ascii="宋体" w:hAnsi="宋体" w:cs="宋体"/>
          <w:color w:val="auto"/>
          <w:sz w:val="21"/>
          <w:szCs w:val="21"/>
        </w:rPr>
        <w:t>，且第一责任</w:t>
      </w:r>
      <w:r>
        <w:rPr>
          <w:rFonts w:ascii="宋体" w:hAnsi="宋体" w:cs="宋体"/>
          <w:color w:val="auto"/>
          <w:sz w:val="21"/>
          <w:szCs w:val="21"/>
        </w:rPr>
        <w:t>人与学生</w:t>
      </w:r>
      <w:r>
        <w:rPr>
          <w:rFonts w:hint="eastAsia" w:ascii="宋体" w:hAnsi="宋体" w:cs="宋体"/>
          <w:color w:val="auto"/>
          <w:sz w:val="21"/>
          <w:szCs w:val="21"/>
        </w:rPr>
        <w:t>署名单位为上海师范大学。</w:t>
      </w:r>
    </w:p>
    <w:p>
      <w:pPr>
        <w:numPr>
          <w:ilvl w:val="0"/>
          <w:numId w:val="2"/>
        </w:numPr>
        <w:adjustRightInd w:val="0"/>
        <w:snapToGrid w:val="0"/>
        <w:spacing w:line="360" w:lineRule="auto"/>
        <w:ind w:left="0" w:firstLine="0"/>
        <w:rPr>
          <w:rFonts w:hint="eastAsia" w:ascii="宋体" w:hAnsi="宋体" w:cs="宋体"/>
          <w:color w:val="auto"/>
          <w:sz w:val="21"/>
          <w:szCs w:val="21"/>
        </w:rPr>
      </w:pPr>
      <w:r>
        <w:rPr>
          <w:rFonts w:hint="eastAsia" w:ascii="宋体" w:hAnsi="宋体" w:cs="宋体"/>
          <w:color w:val="auto"/>
          <w:sz w:val="21"/>
          <w:szCs w:val="21"/>
        </w:rPr>
        <w:t>期刊学术论文和研究报告，以见刊或见批示日期为准，署名可以是学生本人是第一作者，或是导师第一作者且学生本人为第二作者的论文或研究报告，其中</w:t>
      </w:r>
      <w:r>
        <w:rPr>
          <w:rFonts w:ascii="宋体" w:hAnsi="宋体" w:cs="宋体"/>
          <w:color w:val="auto"/>
          <w:sz w:val="21"/>
          <w:szCs w:val="21"/>
        </w:rPr>
        <w:t>，</w:t>
      </w:r>
      <w:r>
        <w:rPr>
          <w:rFonts w:hint="eastAsia" w:ascii="宋体" w:hAnsi="宋体" w:cs="宋体"/>
          <w:color w:val="auto"/>
          <w:sz w:val="21"/>
          <w:szCs w:val="21"/>
        </w:rPr>
        <w:t>学术论文第一作者，分值全加</w:t>
      </w:r>
      <w:r>
        <w:rPr>
          <w:rFonts w:ascii="宋体" w:hAnsi="宋体" w:cs="宋体"/>
          <w:color w:val="auto"/>
          <w:sz w:val="21"/>
          <w:szCs w:val="21"/>
        </w:rPr>
        <w:t>；</w:t>
      </w:r>
      <w:r>
        <w:rPr>
          <w:rFonts w:hint="eastAsia" w:ascii="宋体" w:hAnsi="宋体" w:cs="宋体"/>
          <w:color w:val="auto"/>
          <w:sz w:val="21"/>
          <w:szCs w:val="21"/>
        </w:rPr>
        <w:t xml:space="preserve">导师第一作者，含交叉指导，研究生第二作者，分值的 80%;导师合作指导，研究生第三作者，分值的60%。如作者中学生人数超过一名以上，所得分值还需按照集体成果进行再次划分，具体划分详见以下第(5)条。期刊论文字数须在4000字以上，重要报刊文章字数须在 2000 字以上。 </w:t>
      </w:r>
    </w:p>
    <w:p>
      <w:pPr>
        <w:numPr>
          <w:ilvl w:val="0"/>
          <w:numId w:val="2"/>
        </w:numPr>
        <w:adjustRightInd w:val="0"/>
        <w:snapToGrid w:val="0"/>
        <w:spacing w:line="360" w:lineRule="auto"/>
        <w:ind w:left="0" w:firstLine="0"/>
        <w:rPr>
          <w:rFonts w:hint="eastAsia" w:ascii="宋体" w:hAnsi="宋体" w:cs="宋体"/>
          <w:color w:val="auto"/>
          <w:sz w:val="21"/>
          <w:szCs w:val="21"/>
        </w:rPr>
      </w:pPr>
      <w:r>
        <w:rPr>
          <w:rFonts w:hint="eastAsia" w:ascii="宋体" w:hAnsi="宋体" w:cs="宋体"/>
          <w:color w:val="auto"/>
          <w:sz w:val="21"/>
          <w:szCs w:val="21"/>
        </w:rPr>
        <w:t>报纸发表文章:《人民日报》(理论版)、《光明日报》(理论版)上发表的2000字以上的学术文章属于B2类;</w:t>
      </w:r>
      <w:r>
        <w:rPr>
          <w:rFonts w:ascii="宋体" w:hAnsi="宋体" w:cs="宋体"/>
          <w:color w:val="auto"/>
          <w:sz w:val="21"/>
          <w:szCs w:val="21"/>
        </w:rPr>
        <w:t xml:space="preserve"> </w:t>
      </w:r>
      <w:r>
        <w:rPr>
          <w:rFonts w:hint="eastAsia" w:ascii="宋体" w:hAnsi="宋体" w:cs="宋体"/>
          <w:color w:val="auto"/>
          <w:sz w:val="21"/>
          <w:szCs w:val="21"/>
        </w:rPr>
        <w:t>D类包括</w:t>
      </w:r>
      <w:r>
        <w:rPr>
          <w:rFonts w:ascii="宋体" w:hAnsi="宋体" w:cs="宋体"/>
          <w:color w:val="auto"/>
          <w:sz w:val="21"/>
          <w:szCs w:val="21"/>
        </w:rPr>
        <w:t>：</w:t>
      </w:r>
      <w:r>
        <w:rPr>
          <w:rFonts w:hint="eastAsia" w:ascii="宋体" w:hAnsi="宋体" w:cs="宋体"/>
          <w:color w:val="auto"/>
          <w:sz w:val="21"/>
          <w:szCs w:val="21"/>
        </w:rPr>
        <w:t xml:space="preserve">CSSCI 期刊源集刊论文、《中国教育报》、《解放日报》、《文汇报》(理论文章)、《光明日报》、《中国 社会科学报》、《人民论坛》(“国家社科基金”专刊上的文章)发表的 2000 字以上的学术文章，及人大复印资料各学科全文收录的报刊文章。 </w:t>
      </w:r>
    </w:p>
    <w:p>
      <w:pPr>
        <w:numPr>
          <w:ilvl w:val="0"/>
          <w:numId w:val="2"/>
        </w:numPr>
        <w:adjustRightInd w:val="0"/>
        <w:snapToGrid w:val="0"/>
        <w:spacing w:line="360" w:lineRule="auto"/>
        <w:ind w:left="0" w:firstLine="0"/>
        <w:rPr>
          <w:rFonts w:hint="eastAsia" w:ascii="宋体" w:hAnsi="宋体" w:cs="宋体"/>
          <w:color w:val="auto"/>
          <w:sz w:val="21"/>
          <w:szCs w:val="21"/>
        </w:rPr>
      </w:pPr>
      <w:r>
        <w:rPr>
          <w:rFonts w:hint="eastAsia" w:ascii="宋体" w:hAnsi="宋体" w:cs="宋体"/>
          <w:color w:val="auto"/>
          <w:sz w:val="21"/>
          <w:szCs w:val="21"/>
        </w:rPr>
        <w:t xml:space="preserve">学院院刊《金融管理研究》，为定期连续出版的学术辑刊，在学院认定为北大核心期刊。其他期刊等级以发表当年检索等级为准。 </w:t>
      </w:r>
    </w:p>
    <w:p>
      <w:pPr>
        <w:numPr>
          <w:ilvl w:val="0"/>
          <w:numId w:val="2"/>
        </w:numPr>
        <w:adjustRightInd w:val="0"/>
        <w:snapToGrid w:val="0"/>
        <w:spacing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rPr>
        <w:t>学校及学院组织编写的会议论文集、普通报纸上的文章、参加由本校或外校教师组织编写的各</w:t>
      </w:r>
      <w:r>
        <w:rPr>
          <w:rFonts w:hint="eastAsia" w:ascii="宋体" w:hAnsi="宋体" w:cs="宋体"/>
          <w:color w:val="auto"/>
          <w:sz w:val="21"/>
          <w:szCs w:val="21"/>
          <w:highlight w:val="none"/>
        </w:rPr>
        <w:t xml:space="preserve">类课程教材、参考书等均不在计算之列。 </w:t>
      </w:r>
    </w:p>
    <w:p>
      <w:pPr>
        <w:numPr>
          <w:ilvl w:val="0"/>
          <w:numId w:val="2"/>
        </w:numPr>
        <w:adjustRightInd w:val="0"/>
        <w:snapToGrid w:val="0"/>
        <w:spacing w:line="360" w:lineRule="auto"/>
        <w:ind w:left="0" w:firstLine="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各类项目与成果，不重复积分。同一主题内容的项目成果获多项奖励的，最高奖励全部计分，其他奖励一律减半计分。 </w:t>
      </w:r>
    </w:p>
    <w:p>
      <w:pPr>
        <w:numPr>
          <w:ilvl w:val="0"/>
          <w:numId w:val="2"/>
        </w:numPr>
        <w:adjustRightInd w:val="0"/>
        <w:snapToGrid w:val="0"/>
        <w:spacing w:line="360" w:lineRule="auto"/>
        <w:ind w:left="0" w:firstLine="0"/>
        <w:rPr>
          <w:rFonts w:hint="eastAsia" w:ascii="宋体" w:hAnsi="宋体" w:cs="宋体"/>
          <w:color w:val="auto"/>
          <w:sz w:val="21"/>
          <w:szCs w:val="21"/>
        </w:rPr>
      </w:pPr>
      <w:r>
        <w:rPr>
          <w:rFonts w:hint="eastAsia" w:ascii="宋体" w:hAnsi="宋体" w:cs="宋体"/>
          <w:color w:val="auto"/>
          <w:sz w:val="21"/>
          <w:szCs w:val="21"/>
        </w:rPr>
        <w:t>各级成果的重点、重大或特别级计分为该等级一级分值标准</w:t>
      </w:r>
      <w:r>
        <w:rPr>
          <w:rFonts w:ascii="宋体" w:hAnsi="宋体" w:cs="宋体"/>
          <w:color w:val="auto"/>
          <w:sz w:val="21"/>
          <w:szCs w:val="21"/>
        </w:rPr>
        <w:t>的</w:t>
      </w:r>
      <w:r>
        <w:rPr>
          <w:rFonts w:hint="eastAsia" w:ascii="宋体" w:hAnsi="宋体" w:cs="宋体"/>
          <w:color w:val="auto"/>
          <w:sz w:val="21"/>
          <w:szCs w:val="21"/>
        </w:rPr>
        <w:t>1.5倍;各级的青年项目、专项专列项目都在原等级上降一级。</w:t>
      </w:r>
    </w:p>
    <w:p>
      <w:pPr>
        <w:numPr>
          <w:ilvl w:val="0"/>
          <w:numId w:val="2"/>
        </w:numPr>
        <w:adjustRightInd w:val="0"/>
        <w:snapToGrid w:val="0"/>
        <w:spacing w:line="360" w:lineRule="auto"/>
        <w:ind w:left="0" w:firstLine="0"/>
        <w:rPr>
          <w:rFonts w:hint="eastAsia" w:ascii="宋体" w:hAnsi="宋体" w:cs="宋体"/>
          <w:color w:val="auto"/>
          <w:sz w:val="21"/>
          <w:szCs w:val="21"/>
        </w:rPr>
      </w:pPr>
      <w:r>
        <w:rPr>
          <w:rFonts w:hint="eastAsia" w:ascii="宋体" w:hAnsi="宋体" w:cs="宋体"/>
          <w:color w:val="auto"/>
          <w:sz w:val="21"/>
          <w:szCs w:val="21"/>
        </w:rPr>
        <w:t>研究生主持(即第一负责人)的科研获奖或研究报告为集体成果的，分值由全体成员分摊。两人完成的按7:3分摊;三人完成按5:3:2分摊;</w:t>
      </w:r>
      <w:r>
        <w:rPr>
          <w:rFonts w:ascii="宋体" w:hAnsi="宋体" w:cs="宋体"/>
          <w:color w:val="auto"/>
          <w:sz w:val="21"/>
          <w:szCs w:val="21"/>
        </w:rPr>
        <w:t xml:space="preserve"> </w:t>
      </w:r>
      <w:r>
        <w:rPr>
          <w:rFonts w:hint="eastAsia" w:ascii="宋体" w:hAnsi="宋体" w:cs="宋体"/>
          <w:color w:val="auto"/>
          <w:sz w:val="21"/>
          <w:szCs w:val="21"/>
        </w:rPr>
        <w:t>4人完成按4:3:2:</w:t>
      </w:r>
      <w:r>
        <w:rPr>
          <w:rFonts w:ascii="宋体" w:hAnsi="宋体" w:cs="宋体"/>
          <w:color w:val="auto"/>
          <w:sz w:val="21"/>
          <w:szCs w:val="21"/>
        </w:rPr>
        <w:t>1</w:t>
      </w:r>
      <w:r>
        <w:rPr>
          <w:rFonts w:hint="eastAsia" w:ascii="宋体" w:hAnsi="宋体" w:cs="宋体"/>
          <w:color w:val="auto"/>
          <w:sz w:val="21"/>
          <w:szCs w:val="21"/>
        </w:rPr>
        <w:t>分摊;</w:t>
      </w:r>
      <w:r>
        <w:rPr>
          <w:rFonts w:ascii="宋体" w:hAnsi="宋体" w:cs="宋体"/>
          <w:color w:val="auto"/>
          <w:sz w:val="21"/>
          <w:szCs w:val="21"/>
        </w:rPr>
        <w:t xml:space="preserve"> </w:t>
      </w:r>
      <w:r>
        <w:rPr>
          <w:rFonts w:hint="eastAsia" w:ascii="宋体" w:hAnsi="宋体" w:cs="宋体"/>
          <w:color w:val="auto"/>
          <w:sz w:val="21"/>
          <w:szCs w:val="21"/>
        </w:rPr>
        <w:t>5人及以上完成的</w:t>
      </w:r>
      <w:r>
        <w:rPr>
          <w:rFonts w:ascii="宋体" w:hAnsi="宋体" w:cs="宋体"/>
          <w:color w:val="auto"/>
          <w:sz w:val="21"/>
          <w:szCs w:val="21"/>
        </w:rPr>
        <w:t>，</w:t>
      </w:r>
      <w:r>
        <w:rPr>
          <w:rFonts w:hint="eastAsia" w:ascii="宋体" w:hAnsi="宋体" w:cs="宋体"/>
          <w:color w:val="auto"/>
          <w:sz w:val="21"/>
          <w:szCs w:val="21"/>
        </w:rPr>
        <w:t xml:space="preserve">第一完成人30%，其余再分摊。 </w:t>
      </w:r>
    </w:p>
    <w:p>
      <w:pPr>
        <w:numPr>
          <w:ilvl w:val="0"/>
          <w:numId w:val="2"/>
        </w:numPr>
        <w:adjustRightInd w:val="0"/>
        <w:snapToGrid w:val="0"/>
        <w:spacing w:line="360" w:lineRule="auto"/>
        <w:ind w:left="0" w:firstLine="0"/>
        <w:rPr>
          <w:rFonts w:hint="eastAsia" w:ascii="宋体" w:hAnsi="宋体" w:cs="宋体"/>
          <w:color w:val="auto"/>
          <w:sz w:val="21"/>
          <w:szCs w:val="21"/>
        </w:rPr>
      </w:pPr>
      <w:r>
        <w:rPr>
          <w:rFonts w:hint="eastAsia" w:ascii="宋体" w:hAnsi="宋体" w:cs="宋体"/>
          <w:color w:val="auto"/>
          <w:sz w:val="21"/>
          <w:szCs w:val="21"/>
        </w:rPr>
        <w:t>科研项目指研究生主持申报并获得立项，并主持研究结项的纵向项目。科研项目的分值计算，立项与结项各占全部分值的50%。科研项目立项，但没有结项的，项目分值为分值标准的 50%;立项项目结项后申报的(以拿到结项佐证材料为准)，分值为分值标准的50%。研究生以前三名署名参与申报项目立项的，比照该评分标准，计算项目分值，作为综合筛选排序时同等条件下优先排序的参考分值。</w:t>
      </w:r>
    </w:p>
    <w:p>
      <w:pPr>
        <w:numPr>
          <w:ilvl w:val="0"/>
          <w:numId w:val="2"/>
        </w:numPr>
        <w:adjustRightInd w:val="0"/>
        <w:snapToGrid w:val="0"/>
        <w:spacing w:line="360" w:lineRule="auto"/>
        <w:ind w:left="0" w:firstLine="0"/>
        <w:rPr>
          <w:rFonts w:hint="eastAsia" w:ascii="宋体" w:hAnsi="宋体" w:cs="宋体"/>
          <w:color w:val="auto"/>
          <w:sz w:val="21"/>
          <w:szCs w:val="21"/>
        </w:rPr>
      </w:pPr>
      <w:r>
        <w:rPr>
          <w:rFonts w:hint="eastAsia" w:ascii="宋体" w:hAnsi="宋体" w:cs="宋体"/>
          <w:color w:val="auto"/>
          <w:sz w:val="21"/>
          <w:szCs w:val="21"/>
        </w:rPr>
        <w:t xml:space="preserve">申报各类科研项目(未获批准)，同一内容申报多项只计算一项。 </w:t>
      </w:r>
    </w:p>
    <w:p>
      <w:pPr>
        <w:numPr>
          <w:ilvl w:val="0"/>
          <w:numId w:val="2"/>
        </w:numPr>
        <w:adjustRightInd w:val="0"/>
        <w:snapToGrid w:val="0"/>
        <w:spacing w:line="360" w:lineRule="auto"/>
        <w:ind w:left="0" w:firstLine="0"/>
        <w:rPr>
          <w:rFonts w:ascii="宋体" w:hAnsi="宋体" w:cs="宋体"/>
          <w:color w:val="auto"/>
          <w:sz w:val="21"/>
          <w:szCs w:val="21"/>
        </w:rPr>
      </w:pPr>
      <w:r>
        <w:rPr>
          <w:rFonts w:hint="eastAsia" w:ascii="宋体" w:hAnsi="宋体" w:cs="宋体"/>
          <w:color w:val="auto"/>
          <w:sz w:val="21"/>
          <w:szCs w:val="21"/>
        </w:rPr>
        <w:t>科研成果（包括文章</w:t>
      </w:r>
      <w:r>
        <w:rPr>
          <w:rFonts w:ascii="宋体" w:hAnsi="宋体" w:cs="宋体"/>
          <w:color w:val="auto"/>
          <w:sz w:val="21"/>
          <w:szCs w:val="21"/>
        </w:rPr>
        <w:t>、项目与荣誉获奖等</w:t>
      </w:r>
      <w:r>
        <w:rPr>
          <w:rFonts w:hint="eastAsia" w:ascii="宋体" w:hAnsi="宋体" w:cs="宋体"/>
          <w:color w:val="auto"/>
          <w:sz w:val="21"/>
          <w:szCs w:val="21"/>
        </w:rPr>
        <w:t>）都</w:t>
      </w:r>
      <w:r>
        <w:rPr>
          <w:rFonts w:ascii="宋体" w:hAnsi="宋体" w:cs="宋体"/>
          <w:color w:val="auto"/>
          <w:sz w:val="21"/>
          <w:szCs w:val="21"/>
        </w:rPr>
        <w:t>应当属于所在学科领域</w:t>
      </w:r>
      <w:r>
        <w:rPr>
          <w:rFonts w:hint="eastAsia" w:ascii="宋体" w:hAnsi="宋体" w:cs="宋体"/>
          <w:color w:val="auto"/>
          <w:sz w:val="21"/>
          <w:szCs w:val="21"/>
        </w:rPr>
        <w:t>，</w:t>
      </w:r>
      <w:r>
        <w:rPr>
          <w:rFonts w:hint="eastAsia" w:ascii="宋体" w:hAnsi="宋体" w:cs="宋体"/>
          <w:color w:val="auto"/>
          <w:sz w:val="21"/>
          <w:szCs w:val="21"/>
          <w:lang w:val="en-US" w:eastAsia="zh-CN"/>
        </w:rPr>
        <w:t>其中</w:t>
      </w:r>
      <w:r>
        <w:rPr>
          <w:rFonts w:hint="eastAsia" w:ascii="宋体" w:hAnsi="宋体" w:cs="宋体"/>
          <w:color w:val="auto"/>
          <w:sz w:val="21"/>
          <w:szCs w:val="21"/>
        </w:rPr>
        <w:t>学院经济学类与管理学类的学科专业比赛，分值按照竞赛分值标准的100%计算;非学院经济学类与管理学类的学科比赛，分值按照竞赛分值标准的 50%计算。</w:t>
      </w:r>
    </w:p>
    <w:p>
      <w:pPr>
        <w:numPr>
          <w:ilvl w:val="0"/>
          <w:numId w:val="2"/>
        </w:numPr>
        <w:adjustRightInd w:val="0"/>
        <w:snapToGrid w:val="0"/>
        <w:spacing w:line="360" w:lineRule="auto"/>
        <w:ind w:left="0" w:firstLine="0"/>
        <w:rPr>
          <w:rFonts w:hint="eastAsia" w:ascii="宋体" w:hAnsi="宋体" w:cs="宋体"/>
          <w:color w:val="auto"/>
          <w:sz w:val="21"/>
          <w:szCs w:val="21"/>
        </w:rPr>
      </w:pPr>
      <w:r>
        <w:rPr>
          <w:rFonts w:hint="eastAsia" w:ascii="宋体" w:hAnsi="宋体" w:cs="宋体"/>
          <w:color w:val="auto"/>
          <w:sz w:val="21"/>
          <w:szCs w:val="21"/>
        </w:rPr>
        <w:t>所有学科竞赛获奖项目的项目负责人是本院学生;协会竞赛获奖按低两个等级参照学会获奖评分。</w:t>
      </w:r>
    </w:p>
    <w:p>
      <w:pPr>
        <w:numPr>
          <w:ilvl w:val="0"/>
          <w:numId w:val="2"/>
        </w:numPr>
        <w:adjustRightInd w:val="0"/>
        <w:snapToGrid w:val="0"/>
        <w:spacing w:line="360" w:lineRule="auto"/>
        <w:ind w:left="0" w:firstLine="0"/>
        <w:rPr>
          <w:rFonts w:hint="eastAsia" w:ascii="宋体" w:hAnsi="宋体" w:cs="宋体"/>
          <w:color w:val="auto"/>
          <w:sz w:val="21"/>
          <w:szCs w:val="21"/>
        </w:rPr>
      </w:pPr>
      <w:r>
        <w:rPr>
          <w:rFonts w:hint="eastAsia" w:ascii="宋体" w:hAnsi="宋体" w:cs="宋体"/>
          <w:color w:val="auto"/>
          <w:sz w:val="21"/>
          <w:szCs w:val="21"/>
        </w:rPr>
        <w:t>本办法中的一级、二级学科目录以 2005年12月修订而成的教育部学位办发布《授予博士、硕士学位和培养研究生的学科、专业目录》的为准。科研成果应当属于学院相关学科，学院相关学科目录为:</w:t>
      </w:r>
    </w:p>
    <w:tbl>
      <w:tblPr>
        <w:tblStyle w:val="8"/>
        <w:tblW w:w="0" w:type="auto"/>
        <w:tblInd w:w="0" w:type="dxa"/>
        <w:tblLayout w:type="fixed"/>
        <w:tblCellMar>
          <w:top w:w="15" w:type="dxa"/>
          <w:left w:w="15" w:type="dxa"/>
          <w:bottom w:w="15" w:type="dxa"/>
          <w:right w:w="15" w:type="dxa"/>
        </w:tblCellMar>
      </w:tblPr>
      <w:tblGrid>
        <w:gridCol w:w="2085"/>
        <w:gridCol w:w="2357"/>
        <w:gridCol w:w="908"/>
        <w:gridCol w:w="3410"/>
      </w:tblGrid>
      <w:tr>
        <w:tblPrEx>
          <w:tblCellMar>
            <w:top w:w="15" w:type="dxa"/>
            <w:left w:w="15" w:type="dxa"/>
            <w:bottom w:w="15" w:type="dxa"/>
            <w:right w:w="15" w:type="dxa"/>
          </w:tblCellMar>
        </w:tblPrEx>
        <w:tc>
          <w:tcPr>
            <w:tcW w:w="2085" w:type="dxa"/>
            <w:tcBorders>
              <w:top w:val="single" w:color="000000" w:sz="12" w:space="0"/>
              <w:left w:val="single" w:color="000000" w:sz="12" w:space="0"/>
              <w:bottom w:val="single" w:color="000000" w:sz="12"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学科门类代码及名称</w:t>
            </w:r>
          </w:p>
        </w:tc>
        <w:tc>
          <w:tcPr>
            <w:tcW w:w="2357" w:type="dxa"/>
            <w:tcBorders>
              <w:top w:val="single" w:color="000000" w:sz="12" w:space="0"/>
              <w:left w:val="single" w:color="000000" w:sz="4" w:space="0"/>
              <w:bottom w:val="single" w:color="000000" w:sz="12" w:space="0"/>
              <w:right w:val="single" w:color="000000" w:sz="12"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一级学科代码及名称</w:t>
            </w:r>
          </w:p>
        </w:tc>
        <w:tc>
          <w:tcPr>
            <w:tcW w:w="4318" w:type="dxa"/>
            <w:gridSpan w:val="2"/>
            <w:tcBorders>
              <w:top w:val="single" w:color="000000" w:sz="12" w:space="0"/>
              <w:left w:val="single" w:color="000000" w:sz="12" w:space="0"/>
              <w:bottom w:val="single" w:color="000000" w:sz="12"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二级学科代码及名称</w:t>
            </w:r>
          </w:p>
        </w:tc>
      </w:tr>
      <w:tr>
        <w:tblPrEx>
          <w:tblCellMar>
            <w:top w:w="15" w:type="dxa"/>
            <w:left w:w="15" w:type="dxa"/>
            <w:bottom w:w="15" w:type="dxa"/>
            <w:right w:w="15" w:type="dxa"/>
          </w:tblCellMar>
        </w:tblPrEx>
        <w:tc>
          <w:tcPr>
            <w:tcW w:w="2085" w:type="dxa"/>
            <w:vMerge w:val="restart"/>
            <w:tcBorders>
              <w:top w:val="single" w:color="000000" w:sz="12"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 经济学</w:t>
            </w:r>
          </w:p>
        </w:tc>
        <w:tc>
          <w:tcPr>
            <w:tcW w:w="2357" w:type="dxa"/>
            <w:vMerge w:val="restart"/>
            <w:tcBorders>
              <w:top w:val="single" w:color="000000" w:sz="12"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0201 理论经济学</w:t>
            </w:r>
          </w:p>
        </w:tc>
        <w:tc>
          <w:tcPr>
            <w:tcW w:w="908" w:type="dxa"/>
            <w:tcBorders>
              <w:top w:val="single" w:color="000000" w:sz="12"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020101</w:t>
            </w:r>
          </w:p>
        </w:tc>
        <w:tc>
          <w:tcPr>
            <w:tcW w:w="3410" w:type="dxa"/>
            <w:tcBorders>
              <w:top w:val="single" w:color="000000" w:sz="12"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政治经济学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12"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020102</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经济思想史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12"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020103</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经济史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12"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020104</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西方经济学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12"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020105</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世界经济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12"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020106</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人口、资源与环境经济学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restart"/>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0202 应用经济学</w:t>
            </w: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020201</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国民经济学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020202</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区域经济学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020203</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财政学(含∶税收学)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020204</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金融学(含∶保险学)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020205</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产业经济学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020206</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国际贸易学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020207</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劳动经济学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020208</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统计学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020209</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数量经济学 </w:t>
            </w:r>
          </w:p>
        </w:tc>
      </w:tr>
      <w:tr>
        <w:tblPrEx>
          <w:tblCellMar>
            <w:top w:w="15" w:type="dxa"/>
            <w:left w:w="15" w:type="dxa"/>
            <w:bottom w:w="15" w:type="dxa"/>
            <w:right w:w="15" w:type="dxa"/>
          </w:tblCellMar>
        </w:tblPrEx>
        <w:tc>
          <w:tcPr>
            <w:tcW w:w="2085" w:type="dxa"/>
            <w:vMerge w:val="continue"/>
            <w:tcBorders>
              <w:top w:val="single" w:color="000000" w:sz="12" w:space="0"/>
              <w:left w:val="single" w:color="000000" w:sz="12" w:space="0"/>
              <w:bottom w:val="single" w:color="000000" w:sz="4" w:space="0"/>
              <w:right w:val="single" w:color="000000" w:sz="4" w:space="0"/>
            </w:tcBorders>
            <w:noWrap w:val="0"/>
            <w:vAlign w:val="center"/>
          </w:tcPr>
          <w:p>
            <w:pPr>
              <w:adjustRightInd w:val="0"/>
              <w:snapToGrid w:val="0"/>
              <w:jc w:val="center"/>
              <w:rPr>
                <w:rFonts w:hint="eastAsia"/>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hint="eastAsia"/>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020210</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国防经济 </w:t>
            </w:r>
          </w:p>
        </w:tc>
      </w:tr>
      <w:tr>
        <w:tblPrEx>
          <w:tblCellMar>
            <w:top w:w="15" w:type="dxa"/>
            <w:left w:w="15" w:type="dxa"/>
            <w:bottom w:w="15" w:type="dxa"/>
            <w:right w:w="15" w:type="dxa"/>
          </w:tblCellMar>
        </w:tblPrEx>
        <w:tc>
          <w:tcPr>
            <w:tcW w:w="2085" w:type="dxa"/>
            <w:vMerge w:val="restart"/>
            <w:tcBorders>
              <w:top w:val="single" w:color="000000" w:sz="4" w:space="0"/>
              <w:left w:val="single" w:color="000000" w:sz="12"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12 管理学</w:t>
            </w:r>
          </w:p>
        </w:tc>
        <w:tc>
          <w:tcPr>
            <w:tcW w:w="2357"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1201 管理科学与工程</w:t>
            </w: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color w:val="auto"/>
                <w:sz w:val="22"/>
                <w:szCs w:val="22"/>
              </w:rPr>
            </w:pPr>
            <w:r>
              <w:rPr>
                <w:rFonts w:ascii="宋体" w:hAnsi="宋体" w:cs="宋体"/>
                <w:color w:val="auto"/>
                <w:sz w:val="22"/>
                <w:szCs w:val="22"/>
              </w:rPr>
              <w:t>120100</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color w:val="auto"/>
                <w:sz w:val="22"/>
                <w:szCs w:val="22"/>
              </w:rPr>
            </w:pPr>
            <w:r>
              <w:rPr>
                <w:rFonts w:ascii="宋体" w:hAnsi="宋体" w:cs="宋体"/>
                <w:color w:val="auto"/>
                <w:sz w:val="22"/>
                <w:szCs w:val="22"/>
              </w:rPr>
              <w:t xml:space="preserve">★ </w:t>
            </w:r>
          </w:p>
        </w:tc>
      </w:tr>
      <w:tr>
        <w:tblPrEx>
          <w:tblCellMar>
            <w:top w:w="15" w:type="dxa"/>
            <w:left w:w="15" w:type="dxa"/>
            <w:bottom w:w="15" w:type="dxa"/>
            <w:right w:w="15" w:type="dxa"/>
          </w:tblCellMar>
        </w:tblPrEx>
        <w:tc>
          <w:tcPr>
            <w:tcW w:w="2085" w:type="dxa"/>
            <w:vMerge w:val="continue"/>
            <w:tcBorders>
              <w:left w:val="single" w:color="000000" w:sz="12"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p>
        </w:tc>
        <w:tc>
          <w:tcPr>
            <w:tcW w:w="2357" w:type="dxa"/>
            <w:vMerge w:val="restart"/>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1202 工商管理</w:t>
            </w: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120201</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rFonts w:ascii="宋体" w:hAnsi="宋体" w:cs="宋体"/>
                <w:color w:val="auto"/>
                <w:sz w:val="22"/>
                <w:szCs w:val="22"/>
              </w:rPr>
            </w:pPr>
            <w:r>
              <w:rPr>
                <w:rFonts w:ascii="宋体" w:hAnsi="宋体" w:cs="宋体"/>
                <w:color w:val="auto"/>
                <w:sz w:val="22"/>
                <w:szCs w:val="22"/>
              </w:rPr>
              <w:t xml:space="preserve">会计学 </w:t>
            </w:r>
          </w:p>
        </w:tc>
      </w:tr>
      <w:tr>
        <w:tblPrEx>
          <w:tblCellMar>
            <w:top w:w="15" w:type="dxa"/>
            <w:left w:w="15" w:type="dxa"/>
            <w:bottom w:w="15" w:type="dxa"/>
            <w:right w:w="15" w:type="dxa"/>
          </w:tblCellMar>
        </w:tblPrEx>
        <w:tc>
          <w:tcPr>
            <w:tcW w:w="2085" w:type="dxa"/>
            <w:vMerge w:val="continue"/>
            <w:tcBorders>
              <w:left w:val="single" w:color="000000" w:sz="12"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ascii="宋体" w:hAnsi="宋体" w:cs="宋体"/>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120202</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6"/>
              <w:widowControl/>
              <w:adjustRightInd w:val="0"/>
              <w:snapToGrid w:val="0"/>
              <w:rPr>
                <w:rFonts w:cs="宋体"/>
                <w:color w:val="auto"/>
                <w:sz w:val="22"/>
                <w:szCs w:val="22"/>
              </w:rPr>
            </w:pPr>
            <w:r>
              <w:rPr>
                <w:rFonts w:cs="宋体"/>
                <w:color w:val="auto"/>
                <w:sz w:val="22"/>
                <w:szCs w:val="22"/>
              </w:rPr>
              <w:t>企业管理(含:财务管理、市场营销、人力资源管理)</w:t>
            </w:r>
          </w:p>
        </w:tc>
      </w:tr>
      <w:tr>
        <w:tblPrEx>
          <w:tblCellMar>
            <w:top w:w="15" w:type="dxa"/>
            <w:left w:w="15" w:type="dxa"/>
            <w:bottom w:w="15" w:type="dxa"/>
            <w:right w:w="15" w:type="dxa"/>
          </w:tblCellMar>
        </w:tblPrEx>
        <w:tc>
          <w:tcPr>
            <w:tcW w:w="2085" w:type="dxa"/>
            <w:vMerge w:val="continue"/>
            <w:tcBorders>
              <w:left w:val="single" w:color="000000" w:sz="12"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ascii="宋体" w:hAnsi="宋体" w:cs="宋体"/>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120203</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rFonts w:ascii="宋体" w:hAnsi="宋体" w:cs="宋体"/>
                <w:color w:val="auto"/>
                <w:sz w:val="22"/>
                <w:szCs w:val="22"/>
              </w:rPr>
            </w:pPr>
            <w:r>
              <w:rPr>
                <w:rFonts w:ascii="宋体" w:hAnsi="宋体" w:cs="宋体"/>
                <w:color w:val="auto"/>
                <w:sz w:val="22"/>
                <w:szCs w:val="22"/>
              </w:rPr>
              <w:t xml:space="preserve">旅游管理 </w:t>
            </w:r>
          </w:p>
        </w:tc>
      </w:tr>
      <w:tr>
        <w:tblPrEx>
          <w:tblCellMar>
            <w:top w:w="15" w:type="dxa"/>
            <w:left w:w="15" w:type="dxa"/>
            <w:bottom w:w="15" w:type="dxa"/>
            <w:right w:w="15" w:type="dxa"/>
          </w:tblCellMar>
        </w:tblPrEx>
        <w:tc>
          <w:tcPr>
            <w:tcW w:w="2085" w:type="dxa"/>
            <w:vMerge w:val="continue"/>
            <w:tcBorders>
              <w:left w:val="single" w:color="000000" w:sz="12"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ascii="宋体" w:hAnsi="宋体" w:cs="宋体"/>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120204</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rFonts w:ascii="宋体" w:hAnsi="宋体" w:cs="宋体"/>
                <w:color w:val="auto"/>
                <w:sz w:val="22"/>
                <w:szCs w:val="22"/>
              </w:rPr>
            </w:pPr>
            <w:r>
              <w:rPr>
                <w:rFonts w:ascii="宋体" w:hAnsi="宋体" w:cs="宋体"/>
                <w:color w:val="auto"/>
                <w:sz w:val="22"/>
                <w:szCs w:val="22"/>
              </w:rPr>
              <w:t xml:space="preserve">技术经济及管理 </w:t>
            </w:r>
          </w:p>
        </w:tc>
      </w:tr>
      <w:tr>
        <w:tblPrEx>
          <w:tblCellMar>
            <w:top w:w="15" w:type="dxa"/>
            <w:left w:w="15" w:type="dxa"/>
            <w:bottom w:w="15" w:type="dxa"/>
            <w:right w:w="15" w:type="dxa"/>
          </w:tblCellMar>
        </w:tblPrEx>
        <w:tc>
          <w:tcPr>
            <w:tcW w:w="2085" w:type="dxa"/>
            <w:vMerge w:val="continue"/>
            <w:tcBorders>
              <w:left w:val="single" w:color="000000" w:sz="12"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p>
        </w:tc>
        <w:tc>
          <w:tcPr>
            <w:tcW w:w="2357" w:type="dxa"/>
            <w:vMerge w:val="restart"/>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1203 农林经济管理</w:t>
            </w: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120301</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rFonts w:ascii="宋体" w:hAnsi="宋体" w:cs="宋体"/>
                <w:color w:val="auto"/>
                <w:sz w:val="22"/>
                <w:szCs w:val="22"/>
              </w:rPr>
            </w:pPr>
            <w:r>
              <w:rPr>
                <w:rFonts w:ascii="宋体" w:hAnsi="宋体" w:cs="宋体"/>
                <w:color w:val="auto"/>
                <w:sz w:val="22"/>
                <w:szCs w:val="22"/>
              </w:rPr>
              <w:t xml:space="preserve">农业经济管理 </w:t>
            </w:r>
          </w:p>
        </w:tc>
      </w:tr>
      <w:tr>
        <w:tblPrEx>
          <w:tblCellMar>
            <w:top w:w="15" w:type="dxa"/>
            <w:left w:w="15" w:type="dxa"/>
            <w:bottom w:w="15" w:type="dxa"/>
            <w:right w:w="15" w:type="dxa"/>
          </w:tblCellMar>
        </w:tblPrEx>
        <w:tc>
          <w:tcPr>
            <w:tcW w:w="2085" w:type="dxa"/>
            <w:vMerge w:val="continue"/>
            <w:tcBorders>
              <w:left w:val="single" w:color="000000" w:sz="12"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jc w:val="center"/>
              <w:rPr>
                <w:rFonts w:ascii="宋体" w:hAnsi="宋体" w:cs="宋体"/>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120302</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rFonts w:ascii="宋体" w:hAnsi="宋体" w:cs="宋体"/>
                <w:color w:val="auto"/>
                <w:sz w:val="22"/>
                <w:szCs w:val="22"/>
              </w:rPr>
            </w:pPr>
            <w:r>
              <w:rPr>
                <w:rFonts w:ascii="宋体" w:hAnsi="宋体" w:cs="宋体"/>
                <w:color w:val="auto"/>
                <w:sz w:val="22"/>
                <w:szCs w:val="22"/>
              </w:rPr>
              <w:t xml:space="preserve">林业经济管理 </w:t>
            </w:r>
          </w:p>
        </w:tc>
      </w:tr>
      <w:tr>
        <w:tblPrEx>
          <w:tblCellMar>
            <w:top w:w="15" w:type="dxa"/>
            <w:left w:w="15" w:type="dxa"/>
            <w:bottom w:w="15" w:type="dxa"/>
            <w:right w:w="15" w:type="dxa"/>
          </w:tblCellMar>
        </w:tblPrEx>
        <w:tc>
          <w:tcPr>
            <w:tcW w:w="2085" w:type="dxa"/>
            <w:vMerge w:val="continue"/>
            <w:tcBorders>
              <w:left w:val="single" w:color="000000" w:sz="12"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p>
        </w:tc>
        <w:tc>
          <w:tcPr>
            <w:tcW w:w="2357" w:type="dxa"/>
            <w:vMerge w:val="restart"/>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1204 公共管理</w:t>
            </w: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120401</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rFonts w:ascii="宋体" w:hAnsi="宋体" w:cs="宋体"/>
                <w:color w:val="auto"/>
                <w:sz w:val="22"/>
                <w:szCs w:val="22"/>
              </w:rPr>
            </w:pPr>
            <w:r>
              <w:rPr>
                <w:rFonts w:ascii="宋体" w:hAnsi="宋体" w:cs="宋体"/>
                <w:color w:val="auto"/>
                <w:sz w:val="22"/>
                <w:szCs w:val="22"/>
              </w:rPr>
              <w:t xml:space="preserve">行政管理 </w:t>
            </w:r>
          </w:p>
        </w:tc>
      </w:tr>
      <w:tr>
        <w:tblPrEx>
          <w:tblCellMar>
            <w:top w:w="15" w:type="dxa"/>
            <w:left w:w="15" w:type="dxa"/>
            <w:bottom w:w="15" w:type="dxa"/>
            <w:right w:w="15" w:type="dxa"/>
          </w:tblCellMar>
        </w:tblPrEx>
        <w:tc>
          <w:tcPr>
            <w:tcW w:w="2085" w:type="dxa"/>
            <w:vMerge w:val="continue"/>
            <w:tcBorders>
              <w:left w:val="single" w:color="000000" w:sz="12" w:space="0"/>
              <w:right w:val="single" w:color="000000" w:sz="4" w:space="0"/>
            </w:tcBorders>
            <w:noWrap w:val="0"/>
            <w:vAlign w:val="center"/>
          </w:tcPr>
          <w:p>
            <w:pPr>
              <w:pStyle w:val="7"/>
              <w:widowControl/>
              <w:adjustRightInd w:val="0"/>
              <w:snapToGrid w:val="0"/>
              <w:spacing w:after="0" w:afterAutospacing="0"/>
              <w:rPr>
                <w:rFonts w:ascii="宋体" w:hAnsi="宋体" w:cs="宋体"/>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rPr>
                <w:rFonts w:ascii="宋体" w:hAnsi="宋体" w:cs="宋体"/>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120402</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rFonts w:ascii="宋体" w:hAnsi="宋体" w:cs="宋体"/>
                <w:color w:val="auto"/>
                <w:sz w:val="22"/>
                <w:szCs w:val="22"/>
              </w:rPr>
            </w:pPr>
            <w:r>
              <w:rPr>
                <w:rFonts w:ascii="宋体" w:hAnsi="宋体" w:cs="宋体"/>
                <w:color w:val="auto"/>
                <w:sz w:val="22"/>
                <w:szCs w:val="22"/>
              </w:rPr>
              <w:t xml:space="preserve">社会医学与卫生事业管理 </w:t>
            </w:r>
          </w:p>
        </w:tc>
      </w:tr>
      <w:tr>
        <w:tblPrEx>
          <w:tblCellMar>
            <w:top w:w="15" w:type="dxa"/>
            <w:left w:w="15" w:type="dxa"/>
            <w:bottom w:w="15" w:type="dxa"/>
            <w:right w:w="15" w:type="dxa"/>
          </w:tblCellMar>
        </w:tblPrEx>
        <w:tc>
          <w:tcPr>
            <w:tcW w:w="2085" w:type="dxa"/>
            <w:vMerge w:val="continue"/>
            <w:tcBorders>
              <w:left w:val="single" w:color="000000" w:sz="12" w:space="0"/>
              <w:right w:val="single" w:color="000000" w:sz="4" w:space="0"/>
            </w:tcBorders>
            <w:noWrap w:val="0"/>
            <w:vAlign w:val="center"/>
          </w:tcPr>
          <w:p>
            <w:pPr>
              <w:pStyle w:val="7"/>
              <w:widowControl/>
              <w:adjustRightInd w:val="0"/>
              <w:snapToGrid w:val="0"/>
              <w:spacing w:after="0" w:afterAutospacing="0"/>
              <w:rPr>
                <w:rFonts w:ascii="宋体" w:hAnsi="宋体" w:cs="宋体"/>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rPr>
                <w:rFonts w:ascii="宋体" w:hAnsi="宋体" w:cs="宋体"/>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120403</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rFonts w:ascii="宋体" w:hAnsi="宋体" w:cs="宋体"/>
                <w:color w:val="auto"/>
                <w:sz w:val="22"/>
                <w:szCs w:val="22"/>
              </w:rPr>
            </w:pPr>
            <w:r>
              <w:rPr>
                <w:rFonts w:ascii="宋体" w:hAnsi="宋体" w:cs="宋体"/>
                <w:color w:val="auto"/>
                <w:sz w:val="22"/>
                <w:szCs w:val="22"/>
              </w:rPr>
              <w:t xml:space="preserve">教育经济与管理 </w:t>
            </w:r>
          </w:p>
        </w:tc>
      </w:tr>
      <w:tr>
        <w:tblPrEx>
          <w:tblCellMar>
            <w:top w:w="15" w:type="dxa"/>
            <w:left w:w="15" w:type="dxa"/>
            <w:bottom w:w="15" w:type="dxa"/>
            <w:right w:w="15" w:type="dxa"/>
          </w:tblCellMar>
        </w:tblPrEx>
        <w:tc>
          <w:tcPr>
            <w:tcW w:w="2085" w:type="dxa"/>
            <w:vMerge w:val="continue"/>
            <w:tcBorders>
              <w:left w:val="single" w:color="000000" w:sz="12" w:space="0"/>
              <w:right w:val="single" w:color="000000" w:sz="4" w:space="0"/>
            </w:tcBorders>
            <w:noWrap w:val="0"/>
            <w:vAlign w:val="center"/>
          </w:tcPr>
          <w:p>
            <w:pPr>
              <w:pStyle w:val="7"/>
              <w:widowControl/>
              <w:adjustRightInd w:val="0"/>
              <w:snapToGrid w:val="0"/>
              <w:spacing w:after="0" w:afterAutospacing="0"/>
              <w:rPr>
                <w:rFonts w:ascii="宋体" w:hAnsi="宋体" w:cs="宋体"/>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rPr>
                <w:rFonts w:ascii="宋体" w:hAnsi="宋体" w:cs="宋体"/>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120404</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rFonts w:ascii="宋体" w:hAnsi="宋体" w:cs="宋体"/>
                <w:color w:val="auto"/>
                <w:sz w:val="22"/>
                <w:szCs w:val="22"/>
              </w:rPr>
            </w:pPr>
            <w:r>
              <w:rPr>
                <w:rFonts w:ascii="宋体" w:hAnsi="宋体" w:cs="宋体"/>
                <w:color w:val="auto"/>
                <w:sz w:val="22"/>
                <w:szCs w:val="22"/>
              </w:rPr>
              <w:t xml:space="preserve">社会保障 </w:t>
            </w:r>
          </w:p>
        </w:tc>
      </w:tr>
      <w:tr>
        <w:tblPrEx>
          <w:tblCellMar>
            <w:top w:w="15" w:type="dxa"/>
            <w:left w:w="15" w:type="dxa"/>
            <w:bottom w:w="15" w:type="dxa"/>
            <w:right w:w="15" w:type="dxa"/>
          </w:tblCellMar>
        </w:tblPrEx>
        <w:tc>
          <w:tcPr>
            <w:tcW w:w="2085" w:type="dxa"/>
            <w:vMerge w:val="continue"/>
            <w:tcBorders>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rPr>
                <w:rFonts w:ascii="宋体" w:hAnsi="宋体" w:cs="宋体"/>
                <w:color w:val="auto"/>
                <w:sz w:val="22"/>
                <w:szCs w:val="22"/>
              </w:rPr>
            </w:pPr>
          </w:p>
        </w:tc>
        <w:tc>
          <w:tcPr>
            <w:tcW w:w="2357" w:type="dxa"/>
            <w:vMerge w:val="continue"/>
            <w:tcBorders>
              <w:top w:val="single" w:color="000000" w:sz="4" w:space="0"/>
              <w:left w:val="single" w:color="000000" w:sz="4" w:space="0"/>
              <w:bottom w:val="single" w:color="000000" w:sz="4" w:space="0"/>
              <w:right w:val="single" w:color="000000" w:sz="12" w:space="0"/>
            </w:tcBorders>
            <w:noWrap w:val="0"/>
            <w:vAlign w:val="center"/>
          </w:tcPr>
          <w:p>
            <w:pPr>
              <w:adjustRightInd w:val="0"/>
              <w:snapToGrid w:val="0"/>
              <w:rPr>
                <w:rFonts w:ascii="宋体" w:hAnsi="宋体" w:cs="宋体"/>
                <w:color w:val="auto"/>
                <w:sz w:val="22"/>
                <w:szCs w:val="22"/>
              </w:rPr>
            </w:pPr>
          </w:p>
        </w:tc>
        <w:tc>
          <w:tcPr>
            <w:tcW w:w="908" w:type="dxa"/>
            <w:tcBorders>
              <w:top w:val="single" w:color="000000" w:sz="4" w:space="0"/>
              <w:left w:val="single" w:color="000000" w:sz="12" w:space="0"/>
              <w:bottom w:val="single" w:color="000000" w:sz="4" w:space="0"/>
              <w:right w:val="single" w:color="000000" w:sz="4" w:space="0"/>
            </w:tcBorders>
            <w:noWrap w:val="0"/>
            <w:vAlign w:val="center"/>
          </w:tcPr>
          <w:p>
            <w:pPr>
              <w:pStyle w:val="7"/>
              <w:widowControl/>
              <w:adjustRightInd w:val="0"/>
              <w:snapToGrid w:val="0"/>
              <w:spacing w:after="0" w:afterAutospacing="0"/>
              <w:jc w:val="center"/>
              <w:rPr>
                <w:rFonts w:ascii="宋体" w:hAnsi="宋体" w:cs="宋体"/>
                <w:color w:val="auto"/>
                <w:sz w:val="22"/>
                <w:szCs w:val="22"/>
              </w:rPr>
            </w:pPr>
            <w:r>
              <w:rPr>
                <w:rFonts w:ascii="宋体" w:hAnsi="宋体" w:cs="宋体"/>
                <w:color w:val="auto"/>
                <w:sz w:val="22"/>
                <w:szCs w:val="22"/>
              </w:rPr>
              <w:t>120405</w:t>
            </w:r>
          </w:p>
        </w:tc>
        <w:tc>
          <w:tcPr>
            <w:tcW w:w="3410" w:type="dxa"/>
            <w:tcBorders>
              <w:top w:val="single" w:color="000000" w:sz="4" w:space="0"/>
              <w:left w:val="single" w:color="000000" w:sz="4" w:space="0"/>
              <w:bottom w:val="single" w:color="000000" w:sz="4" w:space="0"/>
              <w:right w:val="single" w:color="000000" w:sz="12" w:space="0"/>
            </w:tcBorders>
            <w:noWrap w:val="0"/>
            <w:vAlign w:val="center"/>
          </w:tcPr>
          <w:p>
            <w:pPr>
              <w:pStyle w:val="7"/>
              <w:widowControl/>
              <w:adjustRightInd w:val="0"/>
              <w:snapToGrid w:val="0"/>
              <w:spacing w:after="0" w:afterAutospacing="0"/>
              <w:rPr>
                <w:rFonts w:ascii="宋体" w:hAnsi="宋体" w:cs="宋体"/>
                <w:color w:val="auto"/>
                <w:sz w:val="22"/>
                <w:szCs w:val="22"/>
              </w:rPr>
            </w:pPr>
            <w:r>
              <w:rPr>
                <w:rFonts w:ascii="宋体" w:hAnsi="宋体" w:cs="宋体"/>
                <w:color w:val="auto"/>
                <w:sz w:val="22"/>
                <w:szCs w:val="22"/>
              </w:rPr>
              <w:t xml:space="preserve">土地资源管理 </w:t>
            </w:r>
          </w:p>
        </w:tc>
      </w:tr>
    </w:tbl>
    <w:p>
      <w:pPr>
        <w:adjustRightInd w:val="0"/>
        <w:snapToGrid w:val="0"/>
        <w:spacing w:line="360" w:lineRule="auto"/>
        <w:rPr>
          <w:vanish/>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eastAsia="华文仿宋"/>
          <w:color w:val="auto"/>
          <w:sz w:val="24"/>
        </w:rPr>
      </w:pPr>
      <w:r>
        <w:rPr>
          <w:rFonts w:ascii="宋体" w:hAnsi="宋体" w:cs="宋体"/>
          <w:color w:val="auto"/>
          <w:sz w:val="24"/>
        </w:rPr>
        <w:t xml:space="preserve">(14) </w:t>
      </w:r>
      <w:r>
        <w:rPr>
          <w:rFonts w:hint="eastAsia" w:ascii="宋体" w:hAnsi="宋体" w:cs="宋体"/>
          <w:color w:val="auto"/>
          <w:sz w:val="24"/>
        </w:rPr>
        <w:t>争议项或未定事项由商学院国家奖学金评定小组认定。</w:t>
      </w:r>
    </w:p>
    <w:p>
      <w:pPr>
        <w:spacing w:line="400" w:lineRule="exact"/>
        <w:jc w:val="both"/>
        <w:rPr>
          <w:color w:val="auto"/>
          <w:sz w:val="24"/>
        </w:rPr>
      </w:pPr>
    </w:p>
    <w:bookmarkEnd w:id="0"/>
    <w:sectPr>
      <w:pgSz w:w="11906" w:h="16838"/>
      <w:pgMar w:top="1134"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C3BD8"/>
    <w:multiLevelType w:val="multilevel"/>
    <w:tmpl w:val="4A2C3BD8"/>
    <w:lvl w:ilvl="0" w:tentative="0">
      <w:start w:val="1"/>
      <w:numFmt w:val="decimal"/>
      <w:lvlText w:val="%1."/>
      <w:lvlJc w:val="left"/>
      <w:pPr>
        <w:ind w:left="465" w:hanging="360"/>
      </w:pPr>
      <w:rPr>
        <w:rFonts w:hint="default"/>
        <w:b/>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
    <w:nsid w:val="5F81AE03"/>
    <w:multiLevelType w:val="singleLevel"/>
    <w:tmpl w:val="5F81AE03"/>
    <w:lvl w:ilvl="0" w:tentative="0">
      <w:start w:val="1"/>
      <w:numFmt w:val="decimal"/>
      <w:lvlText w:val="(%1)"/>
      <w:lvlJc w:val="left"/>
      <w:pPr>
        <w:tabs>
          <w:tab w:val="left" w:pos="420"/>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D7"/>
    <w:rsid w:val="0000719C"/>
    <w:rsid w:val="000071E9"/>
    <w:rsid w:val="00020551"/>
    <w:rsid w:val="00021E89"/>
    <w:rsid w:val="00031431"/>
    <w:rsid w:val="00031B99"/>
    <w:rsid w:val="00041613"/>
    <w:rsid w:val="00041FA8"/>
    <w:rsid w:val="0004696C"/>
    <w:rsid w:val="00047132"/>
    <w:rsid w:val="00052071"/>
    <w:rsid w:val="00082E5C"/>
    <w:rsid w:val="000844AF"/>
    <w:rsid w:val="000850CD"/>
    <w:rsid w:val="000A0AC6"/>
    <w:rsid w:val="000A1B61"/>
    <w:rsid w:val="000B2D9D"/>
    <w:rsid w:val="000B44BC"/>
    <w:rsid w:val="000C2E13"/>
    <w:rsid w:val="000C3889"/>
    <w:rsid w:val="000D25CB"/>
    <w:rsid w:val="000E468C"/>
    <w:rsid w:val="000E536A"/>
    <w:rsid w:val="000E784E"/>
    <w:rsid w:val="000F23D5"/>
    <w:rsid w:val="000F2C4D"/>
    <w:rsid w:val="000F4786"/>
    <w:rsid w:val="000F4C6A"/>
    <w:rsid w:val="0010323A"/>
    <w:rsid w:val="00110350"/>
    <w:rsid w:val="00114043"/>
    <w:rsid w:val="00117426"/>
    <w:rsid w:val="001241F4"/>
    <w:rsid w:val="0012709C"/>
    <w:rsid w:val="00134B08"/>
    <w:rsid w:val="00150E60"/>
    <w:rsid w:val="00150EBA"/>
    <w:rsid w:val="0016332A"/>
    <w:rsid w:val="00163FA5"/>
    <w:rsid w:val="001643A2"/>
    <w:rsid w:val="0016663C"/>
    <w:rsid w:val="0018119D"/>
    <w:rsid w:val="0019492F"/>
    <w:rsid w:val="001A2A91"/>
    <w:rsid w:val="001A4C53"/>
    <w:rsid w:val="001B27CA"/>
    <w:rsid w:val="001B3D8D"/>
    <w:rsid w:val="001B4F67"/>
    <w:rsid w:val="001B536E"/>
    <w:rsid w:val="001C27B8"/>
    <w:rsid w:val="001C3FCB"/>
    <w:rsid w:val="001C4D48"/>
    <w:rsid w:val="001C5EE9"/>
    <w:rsid w:val="001D2D09"/>
    <w:rsid w:val="001D3188"/>
    <w:rsid w:val="001D3403"/>
    <w:rsid w:val="001D6A14"/>
    <w:rsid w:val="001E0DF5"/>
    <w:rsid w:val="001E4CAA"/>
    <w:rsid w:val="001E70F8"/>
    <w:rsid w:val="001E7A7A"/>
    <w:rsid w:val="001F451B"/>
    <w:rsid w:val="001F470E"/>
    <w:rsid w:val="0020470B"/>
    <w:rsid w:val="00210510"/>
    <w:rsid w:val="00215627"/>
    <w:rsid w:val="002207F6"/>
    <w:rsid w:val="00230435"/>
    <w:rsid w:val="002323BE"/>
    <w:rsid w:val="0023416C"/>
    <w:rsid w:val="00236A7C"/>
    <w:rsid w:val="00245B4A"/>
    <w:rsid w:val="00257B62"/>
    <w:rsid w:val="00260A19"/>
    <w:rsid w:val="0026234B"/>
    <w:rsid w:val="00263D04"/>
    <w:rsid w:val="00273572"/>
    <w:rsid w:val="00275FF7"/>
    <w:rsid w:val="0028198E"/>
    <w:rsid w:val="00283906"/>
    <w:rsid w:val="00290665"/>
    <w:rsid w:val="002944E6"/>
    <w:rsid w:val="002A0069"/>
    <w:rsid w:val="002A18D8"/>
    <w:rsid w:val="002A540A"/>
    <w:rsid w:val="002A5CE0"/>
    <w:rsid w:val="002A603C"/>
    <w:rsid w:val="002B3080"/>
    <w:rsid w:val="002B4525"/>
    <w:rsid w:val="002B7F6C"/>
    <w:rsid w:val="002C2FF6"/>
    <w:rsid w:val="002C40A2"/>
    <w:rsid w:val="002D05F8"/>
    <w:rsid w:val="002D08BD"/>
    <w:rsid w:val="002D53AC"/>
    <w:rsid w:val="002E0542"/>
    <w:rsid w:val="002E06C8"/>
    <w:rsid w:val="002E6B3B"/>
    <w:rsid w:val="002F1CAA"/>
    <w:rsid w:val="002F1DDB"/>
    <w:rsid w:val="0030093C"/>
    <w:rsid w:val="00300EE2"/>
    <w:rsid w:val="00303FBC"/>
    <w:rsid w:val="00305369"/>
    <w:rsid w:val="00320200"/>
    <w:rsid w:val="00336090"/>
    <w:rsid w:val="003364BB"/>
    <w:rsid w:val="00344AEB"/>
    <w:rsid w:val="00347E76"/>
    <w:rsid w:val="003627AF"/>
    <w:rsid w:val="00375496"/>
    <w:rsid w:val="0037622E"/>
    <w:rsid w:val="00385166"/>
    <w:rsid w:val="00386728"/>
    <w:rsid w:val="00391E31"/>
    <w:rsid w:val="003A1D5D"/>
    <w:rsid w:val="003A2AA3"/>
    <w:rsid w:val="003D0FB6"/>
    <w:rsid w:val="003E3288"/>
    <w:rsid w:val="003F19D7"/>
    <w:rsid w:val="003F4435"/>
    <w:rsid w:val="003F781F"/>
    <w:rsid w:val="003F797E"/>
    <w:rsid w:val="00413538"/>
    <w:rsid w:val="00415B10"/>
    <w:rsid w:val="0042201A"/>
    <w:rsid w:val="00422A32"/>
    <w:rsid w:val="00424444"/>
    <w:rsid w:val="0042644F"/>
    <w:rsid w:val="00433333"/>
    <w:rsid w:val="00436A8A"/>
    <w:rsid w:val="004411DF"/>
    <w:rsid w:val="0044152E"/>
    <w:rsid w:val="004502C9"/>
    <w:rsid w:val="004510F1"/>
    <w:rsid w:val="00451D93"/>
    <w:rsid w:val="004575F8"/>
    <w:rsid w:val="00457A21"/>
    <w:rsid w:val="004659F1"/>
    <w:rsid w:val="00484B95"/>
    <w:rsid w:val="004B50D0"/>
    <w:rsid w:val="004C3E43"/>
    <w:rsid w:val="004D5991"/>
    <w:rsid w:val="004D7CEB"/>
    <w:rsid w:val="004E2584"/>
    <w:rsid w:val="004E3B56"/>
    <w:rsid w:val="004F1688"/>
    <w:rsid w:val="00502E96"/>
    <w:rsid w:val="00506B48"/>
    <w:rsid w:val="00511368"/>
    <w:rsid w:val="00511B9D"/>
    <w:rsid w:val="005127EE"/>
    <w:rsid w:val="00512C45"/>
    <w:rsid w:val="0051437B"/>
    <w:rsid w:val="0052147E"/>
    <w:rsid w:val="00521D23"/>
    <w:rsid w:val="005260A0"/>
    <w:rsid w:val="005276BD"/>
    <w:rsid w:val="00535014"/>
    <w:rsid w:val="0054244C"/>
    <w:rsid w:val="005428F5"/>
    <w:rsid w:val="00554738"/>
    <w:rsid w:val="005674BE"/>
    <w:rsid w:val="00575E12"/>
    <w:rsid w:val="0057661C"/>
    <w:rsid w:val="00581884"/>
    <w:rsid w:val="00590687"/>
    <w:rsid w:val="00593871"/>
    <w:rsid w:val="00596712"/>
    <w:rsid w:val="005C4664"/>
    <w:rsid w:val="005D44FB"/>
    <w:rsid w:val="005E261B"/>
    <w:rsid w:val="005E33D9"/>
    <w:rsid w:val="0060258C"/>
    <w:rsid w:val="00606F2B"/>
    <w:rsid w:val="00615CAE"/>
    <w:rsid w:val="00615D60"/>
    <w:rsid w:val="006243A2"/>
    <w:rsid w:val="006276C8"/>
    <w:rsid w:val="006300AC"/>
    <w:rsid w:val="00634CA0"/>
    <w:rsid w:val="00642F7F"/>
    <w:rsid w:val="00650D79"/>
    <w:rsid w:val="00653661"/>
    <w:rsid w:val="006537AC"/>
    <w:rsid w:val="006552EA"/>
    <w:rsid w:val="00667736"/>
    <w:rsid w:val="0067030E"/>
    <w:rsid w:val="006753FD"/>
    <w:rsid w:val="006844A4"/>
    <w:rsid w:val="00687DE7"/>
    <w:rsid w:val="0069232F"/>
    <w:rsid w:val="00693F30"/>
    <w:rsid w:val="0069426C"/>
    <w:rsid w:val="006951A0"/>
    <w:rsid w:val="006A4553"/>
    <w:rsid w:val="006A6DCA"/>
    <w:rsid w:val="006B2232"/>
    <w:rsid w:val="006C1659"/>
    <w:rsid w:val="006C5A2E"/>
    <w:rsid w:val="006D63C7"/>
    <w:rsid w:val="006D7104"/>
    <w:rsid w:val="006E0A2B"/>
    <w:rsid w:val="006E4D33"/>
    <w:rsid w:val="006F5616"/>
    <w:rsid w:val="006F66A0"/>
    <w:rsid w:val="007010A4"/>
    <w:rsid w:val="00710057"/>
    <w:rsid w:val="007115C3"/>
    <w:rsid w:val="00713F34"/>
    <w:rsid w:val="00720069"/>
    <w:rsid w:val="007224A4"/>
    <w:rsid w:val="00724D71"/>
    <w:rsid w:val="007261A3"/>
    <w:rsid w:val="0072644F"/>
    <w:rsid w:val="00726E90"/>
    <w:rsid w:val="007477D2"/>
    <w:rsid w:val="0075188A"/>
    <w:rsid w:val="00754C08"/>
    <w:rsid w:val="00757C98"/>
    <w:rsid w:val="00760F41"/>
    <w:rsid w:val="0076201D"/>
    <w:rsid w:val="00767132"/>
    <w:rsid w:val="00770C33"/>
    <w:rsid w:val="00773302"/>
    <w:rsid w:val="00784B73"/>
    <w:rsid w:val="00791687"/>
    <w:rsid w:val="007921FE"/>
    <w:rsid w:val="0079669A"/>
    <w:rsid w:val="007A1E51"/>
    <w:rsid w:val="007A2032"/>
    <w:rsid w:val="007A79FE"/>
    <w:rsid w:val="007C55F0"/>
    <w:rsid w:val="007D0BA7"/>
    <w:rsid w:val="007D2C62"/>
    <w:rsid w:val="007D3725"/>
    <w:rsid w:val="007E60E7"/>
    <w:rsid w:val="007F416D"/>
    <w:rsid w:val="00801947"/>
    <w:rsid w:val="008022A0"/>
    <w:rsid w:val="00802B41"/>
    <w:rsid w:val="008037BD"/>
    <w:rsid w:val="00810D64"/>
    <w:rsid w:val="008125BF"/>
    <w:rsid w:val="0081690E"/>
    <w:rsid w:val="00827E95"/>
    <w:rsid w:val="00836DB3"/>
    <w:rsid w:val="00843214"/>
    <w:rsid w:val="00861A74"/>
    <w:rsid w:val="00865724"/>
    <w:rsid w:val="00870B95"/>
    <w:rsid w:val="00877A6E"/>
    <w:rsid w:val="0088384A"/>
    <w:rsid w:val="008847CF"/>
    <w:rsid w:val="008925C3"/>
    <w:rsid w:val="008967A6"/>
    <w:rsid w:val="008B2942"/>
    <w:rsid w:val="008B3DDA"/>
    <w:rsid w:val="008E6D33"/>
    <w:rsid w:val="008F0409"/>
    <w:rsid w:val="008F52D7"/>
    <w:rsid w:val="008F5B2B"/>
    <w:rsid w:val="009045BB"/>
    <w:rsid w:val="00904BAA"/>
    <w:rsid w:val="00906AB7"/>
    <w:rsid w:val="00910F1D"/>
    <w:rsid w:val="0091152D"/>
    <w:rsid w:val="0092517E"/>
    <w:rsid w:val="00926968"/>
    <w:rsid w:val="00927317"/>
    <w:rsid w:val="00935568"/>
    <w:rsid w:val="009359A7"/>
    <w:rsid w:val="009369B2"/>
    <w:rsid w:val="00941A01"/>
    <w:rsid w:val="00946D31"/>
    <w:rsid w:val="0095182F"/>
    <w:rsid w:val="00957D29"/>
    <w:rsid w:val="00961899"/>
    <w:rsid w:val="00966405"/>
    <w:rsid w:val="00967E13"/>
    <w:rsid w:val="00967FFD"/>
    <w:rsid w:val="0097722F"/>
    <w:rsid w:val="00977A21"/>
    <w:rsid w:val="0099203D"/>
    <w:rsid w:val="009A14B7"/>
    <w:rsid w:val="009A4F72"/>
    <w:rsid w:val="009A7A58"/>
    <w:rsid w:val="009B5901"/>
    <w:rsid w:val="009B5EA1"/>
    <w:rsid w:val="009D7041"/>
    <w:rsid w:val="009E372B"/>
    <w:rsid w:val="009E5E00"/>
    <w:rsid w:val="009F0E7B"/>
    <w:rsid w:val="009F2287"/>
    <w:rsid w:val="009F28E6"/>
    <w:rsid w:val="009F76F4"/>
    <w:rsid w:val="00A0458B"/>
    <w:rsid w:val="00A05357"/>
    <w:rsid w:val="00A06676"/>
    <w:rsid w:val="00A105E3"/>
    <w:rsid w:val="00A12D02"/>
    <w:rsid w:val="00A13E9C"/>
    <w:rsid w:val="00A1586B"/>
    <w:rsid w:val="00A251FC"/>
    <w:rsid w:val="00A339E0"/>
    <w:rsid w:val="00A403FB"/>
    <w:rsid w:val="00A40BDF"/>
    <w:rsid w:val="00A415A7"/>
    <w:rsid w:val="00A43520"/>
    <w:rsid w:val="00A519DA"/>
    <w:rsid w:val="00A62F52"/>
    <w:rsid w:val="00A71309"/>
    <w:rsid w:val="00A76A65"/>
    <w:rsid w:val="00A77815"/>
    <w:rsid w:val="00A875AE"/>
    <w:rsid w:val="00A94596"/>
    <w:rsid w:val="00A9549B"/>
    <w:rsid w:val="00AA4211"/>
    <w:rsid w:val="00AB151E"/>
    <w:rsid w:val="00AB3AEF"/>
    <w:rsid w:val="00AC09CC"/>
    <w:rsid w:val="00AC254B"/>
    <w:rsid w:val="00AC4D5D"/>
    <w:rsid w:val="00AC4F21"/>
    <w:rsid w:val="00AC7A1D"/>
    <w:rsid w:val="00AE07C8"/>
    <w:rsid w:val="00AE228A"/>
    <w:rsid w:val="00AE39E1"/>
    <w:rsid w:val="00AF18F6"/>
    <w:rsid w:val="00B03D95"/>
    <w:rsid w:val="00B05350"/>
    <w:rsid w:val="00B10D11"/>
    <w:rsid w:val="00B14C3E"/>
    <w:rsid w:val="00B22477"/>
    <w:rsid w:val="00B35751"/>
    <w:rsid w:val="00B36F95"/>
    <w:rsid w:val="00B52627"/>
    <w:rsid w:val="00B541B4"/>
    <w:rsid w:val="00B55C29"/>
    <w:rsid w:val="00B566DD"/>
    <w:rsid w:val="00B629C1"/>
    <w:rsid w:val="00B74283"/>
    <w:rsid w:val="00B83F1F"/>
    <w:rsid w:val="00B930ED"/>
    <w:rsid w:val="00B95F89"/>
    <w:rsid w:val="00BA1840"/>
    <w:rsid w:val="00BB30D9"/>
    <w:rsid w:val="00BB48DE"/>
    <w:rsid w:val="00BB4AFD"/>
    <w:rsid w:val="00BB7F4A"/>
    <w:rsid w:val="00BC49CD"/>
    <w:rsid w:val="00BC6D91"/>
    <w:rsid w:val="00BD1CC6"/>
    <w:rsid w:val="00BD21ED"/>
    <w:rsid w:val="00BD6C78"/>
    <w:rsid w:val="00BE763D"/>
    <w:rsid w:val="00BF028C"/>
    <w:rsid w:val="00BF3099"/>
    <w:rsid w:val="00C017AD"/>
    <w:rsid w:val="00C071A6"/>
    <w:rsid w:val="00C15CC7"/>
    <w:rsid w:val="00C16505"/>
    <w:rsid w:val="00C17515"/>
    <w:rsid w:val="00C231B3"/>
    <w:rsid w:val="00C23600"/>
    <w:rsid w:val="00C23E61"/>
    <w:rsid w:val="00C62EAA"/>
    <w:rsid w:val="00C6710E"/>
    <w:rsid w:val="00C6723E"/>
    <w:rsid w:val="00C82A58"/>
    <w:rsid w:val="00C83B90"/>
    <w:rsid w:val="00C847ED"/>
    <w:rsid w:val="00C931DB"/>
    <w:rsid w:val="00C95304"/>
    <w:rsid w:val="00C9628D"/>
    <w:rsid w:val="00CA4C50"/>
    <w:rsid w:val="00CA7DB8"/>
    <w:rsid w:val="00CC2855"/>
    <w:rsid w:val="00CD1350"/>
    <w:rsid w:val="00D10029"/>
    <w:rsid w:val="00D1092D"/>
    <w:rsid w:val="00D1416C"/>
    <w:rsid w:val="00D141FE"/>
    <w:rsid w:val="00D344F3"/>
    <w:rsid w:val="00D407EC"/>
    <w:rsid w:val="00D41BC6"/>
    <w:rsid w:val="00D54581"/>
    <w:rsid w:val="00D56E59"/>
    <w:rsid w:val="00D614E8"/>
    <w:rsid w:val="00D61D80"/>
    <w:rsid w:val="00D62208"/>
    <w:rsid w:val="00D64AAE"/>
    <w:rsid w:val="00D64F54"/>
    <w:rsid w:val="00D66ED6"/>
    <w:rsid w:val="00D71B84"/>
    <w:rsid w:val="00D76C67"/>
    <w:rsid w:val="00D82A80"/>
    <w:rsid w:val="00D85E0B"/>
    <w:rsid w:val="00D87C28"/>
    <w:rsid w:val="00D92990"/>
    <w:rsid w:val="00DA00F8"/>
    <w:rsid w:val="00DA2C56"/>
    <w:rsid w:val="00DA757C"/>
    <w:rsid w:val="00DB76E9"/>
    <w:rsid w:val="00DB7936"/>
    <w:rsid w:val="00DD075F"/>
    <w:rsid w:val="00DD322D"/>
    <w:rsid w:val="00DD4BF9"/>
    <w:rsid w:val="00DE25FA"/>
    <w:rsid w:val="00DE3520"/>
    <w:rsid w:val="00E04793"/>
    <w:rsid w:val="00E072DF"/>
    <w:rsid w:val="00E245C5"/>
    <w:rsid w:val="00E266FF"/>
    <w:rsid w:val="00E40E3D"/>
    <w:rsid w:val="00E41621"/>
    <w:rsid w:val="00E41A3E"/>
    <w:rsid w:val="00E45CE6"/>
    <w:rsid w:val="00E552CA"/>
    <w:rsid w:val="00E60673"/>
    <w:rsid w:val="00E654B8"/>
    <w:rsid w:val="00E74E14"/>
    <w:rsid w:val="00EB554B"/>
    <w:rsid w:val="00EC2D20"/>
    <w:rsid w:val="00EC7BB3"/>
    <w:rsid w:val="00ED0FDF"/>
    <w:rsid w:val="00ED7DB1"/>
    <w:rsid w:val="00EE6404"/>
    <w:rsid w:val="00F030D8"/>
    <w:rsid w:val="00F102BD"/>
    <w:rsid w:val="00F10492"/>
    <w:rsid w:val="00F122F0"/>
    <w:rsid w:val="00F2181C"/>
    <w:rsid w:val="00F27C07"/>
    <w:rsid w:val="00F3121A"/>
    <w:rsid w:val="00F33652"/>
    <w:rsid w:val="00F40C53"/>
    <w:rsid w:val="00F5015B"/>
    <w:rsid w:val="00F551F4"/>
    <w:rsid w:val="00F60A67"/>
    <w:rsid w:val="00F622CF"/>
    <w:rsid w:val="00F630D0"/>
    <w:rsid w:val="00F73040"/>
    <w:rsid w:val="00F7396A"/>
    <w:rsid w:val="00F7737D"/>
    <w:rsid w:val="00F773F3"/>
    <w:rsid w:val="00F865E3"/>
    <w:rsid w:val="00F875B2"/>
    <w:rsid w:val="00F904F5"/>
    <w:rsid w:val="00F943FD"/>
    <w:rsid w:val="00F955F5"/>
    <w:rsid w:val="00F95A7C"/>
    <w:rsid w:val="00FA0844"/>
    <w:rsid w:val="00FA4669"/>
    <w:rsid w:val="00FB6FD3"/>
    <w:rsid w:val="00FC0A36"/>
    <w:rsid w:val="00FC0B3A"/>
    <w:rsid w:val="00FD20E7"/>
    <w:rsid w:val="00FD2BF3"/>
    <w:rsid w:val="00FD6ED3"/>
    <w:rsid w:val="00FD73E0"/>
    <w:rsid w:val="00FE32B8"/>
    <w:rsid w:val="00FF5C10"/>
    <w:rsid w:val="022F5890"/>
    <w:rsid w:val="0721010D"/>
    <w:rsid w:val="09B14EC5"/>
    <w:rsid w:val="0B0F4B4E"/>
    <w:rsid w:val="0FC218D6"/>
    <w:rsid w:val="102E1106"/>
    <w:rsid w:val="10AB331E"/>
    <w:rsid w:val="17CA02D0"/>
    <w:rsid w:val="1D1C0408"/>
    <w:rsid w:val="1D802ECF"/>
    <w:rsid w:val="1EA94591"/>
    <w:rsid w:val="20AC77BA"/>
    <w:rsid w:val="21302243"/>
    <w:rsid w:val="23C77126"/>
    <w:rsid w:val="281B2D9F"/>
    <w:rsid w:val="296B11FA"/>
    <w:rsid w:val="2A4B7E89"/>
    <w:rsid w:val="2B952624"/>
    <w:rsid w:val="2D842B8B"/>
    <w:rsid w:val="2ED03B56"/>
    <w:rsid w:val="314073E0"/>
    <w:rsid w:val="331C5D56"/>
    <w:rsid w:val="37497F83"/>
    <w:rsid w:val="3B181CF8"/>
    <w:rsid w:val="433F6F10"/>
    <w:rsid w:val="454976C9"/>
    <w:rsid w:val="47983FB4"/>
    <w:rsid w:val="4DAE3123"/>
    <w:rsid w:val="4FC00A14"/>
    <w:rsid w:val="4FC454F7"/>
    <w:rsid w:val="65945325"/>
    <w:rsid w:val="65B841F6"/>
    <w:rsid w:val="65D24479"/>
    <w:rsid w:val="6D504E9C"/>
    <w:rsid w:val="70DA3592"/>
    <w:rsid w:val="7C3634E5"/>
    <w:rsid w:val="7F0B4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页眉 Char"/>
    <w:link w:val="5"/>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日期 Char"/>
    <w:link w:val="2"/>
    <w:qFormat/>
    <w:uiPriority w:val="0"/>
    <w:rPr>
      <w:kern w:val="2"/>
      <w:sz w:val="21"/>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B0781-D6BE-4645-B418-749549E61F17}">
  <ds:schemaRefs/>
</ds:datastoreItem>
</file>

<file path=docProps/app.xml><?xml version="1.0" encoding="utf-8"?>
<Properties xmlns="http://schemas.openxmlformats.org/officeDocument/2006/extended-properties" xmlns:vt="http://schemas.openxmlformats.org/officeDocument/2006/docPropsVTypes">
  <Template>Normal</Template>
  <Company>shnubc</Company>
  <Pages>1</Pages>
  <Words>475</Words>
  <Characters>2709</Characters>
  <Lines>22</Lines>
  <Paragraphs>6</Paragraphs>
  <TotalTime>4</TotalTime>
  <ScaleCrop>false</ScaleCrop>
  <LinksUpToDate>false</LinksUpToDate>
  <CharactersWithSpaces>3178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2017-11-06T02:40:00Z</dcterms:created>
  <dc:creator>YlmF</dc:creator>
  <cp:lastModifiedBy>鱼的幻想</cp:lastModifiedBy>
  <cp:lastPrinted>2020-11-30T01:25:00Z</cp:lastPrinted>
  <dcterms:modified xsi:type="dcterms:W3CDTF">2020-12-04T08:24:43Z</dcterms:modified>
  <dc:title>商学院研究生优秀毕业生评定具体标准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